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1B659" w14:textId="77777777" w:rsidR="004274B6" w:rsidRDefault="0062762F" w:rsidP="0062762F">
      <w:pPr>
        <w:spacing w:after="0" w:line="240" w:lineRule="auto"/>
        <w:jc w:val="center"/>
        <w:rPr>
          <w:rFonts w:eastAsia="Times New Roman" w:cstheme="minorHAnsi"/>
          <w:b/>
          <w:color w:val="44546A" w:themeColor="text2"/>
          <w:sz w:val="28"/>
          <w:lang w:eastAsia="fr-FR"/>
        </w:rPr>
      </w:pPr>
      <w:r w:rsidRPr="0062762F">
        <w:rPr>
          <w:rFonts w:eastAsia="Times New Roman" w:cstheme="minorHAnsi"/>
          <w:b/>
          <w:color w:val="44546A" w:themeColor="text2"/>
          <w:sz w:val="28"/>
          <w:lang w:eastAsia="fr-FR"/>
        </w:rPr>
        <w:t xml:space="preserve">Mesures relatives à la complémentaire santé solidaire – </w:t>
      </w:r>
    </w:p>
    <w:p w14:paraId="3DDD23C3" w14:textId="77777777" w:rsidR="00B674D7" w:rsidRPr="0062762F" w:rsidRDefault="0062762F" w:rsidP="0062762F">
      <w:pPr>
        <w:spacing w:after="0" w:line="240" w:lineRule="auto"/>
        <w:jc w:val="center"/>
        <w:rPr>
          <w:rFonts w:eastAsia="Times New Roman" w:cstheme="minorHAnsi"/>
          <w:b/>
          <w:color w:val="44546A" w:themeColor="text2"/>
          <w:sz w:val="28"/>
          <w:lang w:eastAsia="fr-FR"/>
        </w:rPr>
      </w:pPr>
      <w:r w:rsidRPr="0062762F">
        <w:rPr>
          <w:rFonts w:eastAsia="Times New Roman" w:cstheme="minorHAnsi"/>
          <w:b/>
          <w:color w:val="44546A" w:themeColor="text2"/>
          <w:sz w:val="28"/>
          <w:lang w:eastAsia="fr-FR"/>
        </w:rPr>
        <w:t>Loi de financement de la sécurité sociale pour 2022</w:t>
      </w:r>
    </w:p>
    <w:p w14:paraId="67B1C8DA" w14:textId="77777777" w:rsidR="00B674D7" w:rsidRDefault="00B674D7" w:rsidP="00B674D7">
      <w:pPr>
        <w:spacing w:after="0" w:line="240" w:lineRule="auto"/>
        <w:jc w:val="both"/>
        <w:rPr>
          <w:rFonts w:eastAsia="Times New Roman" w:cstheme="minorHAnsi"/>
          <w:color w:val="44546A" w:themeColor="text2"/>
          <w:lang w:eastAsia="fr-FR"/>
        </w:rPr>
      </w:pPr>
    </w:p>
    <w:p w14:paraId="2A734B4F" w14:textId="77777777" w:rsidR="0062762F" w:rsidRDefault="0062762F" w:rsidP="00B674D7">
      <w:pPr>
        <w:spacing w:after="0" w:line="240" w:lineRule="auto"/>
        <w:jc w:val="both"/>
        <w:rPr>
          <w:rFonts w:eastAsia="Times New Roman" w:cstheme="minorHAnsi"/>
          <w:color w:val="000000" w:themeColor="text1"/>
          <w:lang w:eastAsia="fr-FR"/>
        </w:rPr>
      </w:pPr>
    </w:p>
    <w:tbl>
      <w:tblPr>
        <w:tblStyle w:val="Grilledutableau"/>
        <w:tblW w:w="12050"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0"/>
      </w:tblGrid>
      <w:tr w:rsidR="00D56219" w14:paraId="0058A9C6" w14:textId="77777777" w:rsidTr="00131189">
        <w:trPr>
          <w:trHeight w:val="750"/>
        </w:trPr>
        <w:tc>
          <w:tcPr>
            <w:tcW w:w="12050" w:type="dxa"/>
            <w:shd w:val="clear" w:color="auto" w:fill="D5DCE4" w:themeFill="text2" w:themeFillTint="33"/>
            <w:vAlign w:val="center"/>
          </w:tcPr>
          <w:p w14:paraId="241CCFB2" w14:textId="77777777" w:rsidR="00D56219" w:rsidRPr="00D56219" w:rsidRDefault="00D56219" w:rsidP="00D56219">
            <w:pPr>
              <w:jc w:val="center"/>
              <w:rPr>
                <w:rFonts w:eastAsia="Times New Roman" w:cstheme="minorHAnsi"/>
                <w:b/>
                <w:color w:val="000000" w:themeColor="text1"/>
                <w:sz w:val="28"/>
                <w:lang w:eastAsia="fr-FR"/>
              </w:rPr>
            </w:pPr>
            <w:r w:rsidRPr="00D56219">
              <w:rPr>
                <w:rFonts w:eastAsia="Times New Roman" w:cstheme="minorHAnsi"/>
                <w:b/>
                <w:color w:val="000000" w:themeColor="text1"/>
                <w:sz w:val="28"/>
                <w:lang w:eastAsia="fr-FR"/>
              </w:rPr>
              <w:t>PRESENTATION DES MESURES</w:t>
            </w:r>
          </w:p>
        </w:tc>
      </w:tr>
    </w:tbl>
    <w:p w14:paraId="5E53632B" w14:textId="45FC0032" w:rsidR="004274B6" w:rsidRDefault="004274B6" w:rsidP="00B674D7">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sz w:val="24"/>
          <w:lang w:eastAsia="fr-FR"/>
        </w:rPr>
      </w:pPr>
    </w:p>
    <w:p w14:paraId="401048FB" w14:textId="77777777" w:rsidR="004274B6" w:rsidRPr="0062762F" w:rsidRDefault="004274B6" w:rsidP="00B674D7">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sz w:val="24"/>
          <w:lang w:eastAsia="fr-FR"/>
        </w:rPr>
      </w:pPr>
    </w:p>
    <w:p w14:paraId="4B5B0AA4" w14:textId="77777777" w:rsidR="004274B6" w:rsidRPr="0062762F" w:rsidRDefault="004274B6" w:rsidP="00B674D7">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7EB405D3" w14:textId="77777777" w:rsidR="00B674D7" w:rsidRPr="00264876" w:rsidRDefault="004274B6" w:rsidP="004274B6">
      <w:pPr>
        <w:pBdr>
          <w:bottom w:val="single" w:sz="6" w:space="1" w:color="auto"/>
        </w:pBdr>
        <w:spacing w:after="0" w:line="240" w:lineRule="auto"/>
        <w:jc w:val="both"/>
        <w:rPr>
          <w:rFonts w:eastAsia="Times New Roman" w:cstheme="minorHAnsi"/>
          <w:b/>
          <w:color w:val="44546A" w:themeColor="text2"/>
          <w:sz w:val="24"/>
          <w:lang w:eastAsia="fr-FR"/>
        </w:rPr>
      </w:pPr>
      <w:r w:rsidRPr="00264876">
        <w:rPr>
          <w:rFonts w:eastAsia="Times New Roman" w:cstheme="minorHAnsi"/>
          <w:b/>
          <w:color w:val="44546A" w:themeColor="text2"/>
          <w:sz w:val="24"/>
          <w:lang w:eastAsia="fr-FR"/>
        </w:rPr>
        <w:t>EXTENSION DU CHAMP DU CONTENTIEUX DE L’ADMISSION A L’AIDE SOCIALE AUX DECISIONS RELATIVES A LA COMPLEMENTAIRE SANTE SOLIDAIRE</w:t>
      </w:r>
    </w:p>
    <w:p w14:paraId="5B505E18" w14:textId="77777777" w:rsidR="00B674D7" w:rsidRPr="0062762F" w:rsidRDefault="00B674D7" w:rsidP="00B674D7">
      <w:pPr>
        <w:keepNext/>
        <w:keepLines/>
        <w:spacing w:after="0" w:line="240" w:lineRule="auto"/>
        <w:jc w:val="both"/>
        <w:rPr>
          <w:rFonts w:eastAsia="Times New Roman" w:cstheme="minorHAnsi"/>
          <w:color w:val="000000" w:themeColor="text1"/>
          <w:lang w:eastAsia="fr-FR"/>
        </w:rPr>
      </w:pPr>
    </w:p>
    <w:p w14:paraId="3536B508" w14:textId="148C95C1" w:rsidR="00C71CEA" w:rsidRDefault="002C1412" w:rsidP="00CD46D9">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Pr>
          <w:rFonts w:eastAsia="Times New Roman" w:cstheme="minorHAnsi"/>
          <w:color w:val="000000" w:themeColor="text1"/>
          <w:lang w:eastAsia="fr-FR"/>
        </w:rPr>
        <w:t>La LFSS pour 2022 prévoit</w:t>
      </w:r>
      <w:r w:rsidR="00B674D7" w:rsidRPr="0062762F">
        <w:rPr>
          <w:rFonts w:eastAsia="Times New Roman" w:cstheme="minorHAnsi"/>
          <w:color w:val="000000" w:themeColor="text1"/>
          <w:lang w:eastAsia="fr-FR"/>
        </w:rPr>
        <w:t xml:space="preserve"> </w:t>
      </w:r>
      <w:r w:rsidR="00B674D7" w:rsidRPr="007C0480">
        <w:rPr>
          <w:rFonts w:eastAsia="Times New Roman" w:cstheme="minorHAnsi"/>
          <w:color w:val="000000" w:themeColor="text1"/>
          <w:lang w:eastAsia="fr-FR"/>
        </w:rPr>
        <w:t xml:space="preserve">d’étendre le contentieux de l’admission à l’aide sociale à l’ensemble des décisions prises en matière de complémentaire santé solidaire donnant ainsi compétence à la commission de recours amiable (CRA), puis aux tribunaux d’instance, pour statuer sur de tels litiges. </w:t>
      </w:r>
    </w:p>
    <w:p w14:paraId="0ECBC67B" w14:textId="77777777" w:rsidR="00B674D7" w:rsidRPr="007C0480" w:rsidRDefault="00B674D7" w:rsidP="00CD46D9">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7C0480">
        <w:rPr>
          <w:rFonts w:eastAsia="Times New Roman" w:cstheme="minorHAnsi"/>
          <w:color w:val="000000" w:themeColor="text1"/>
          <w:lang w:eastAsia="fr-FR"/>
        </w:rPr>
        <w:t xml:space="preserve">Ce contentieux est ainsi étendu aux décisions concernant des bénéficiaires de la complémentaire santé solidaire ainsi qu’aux décisions prises vis-à-vis des organismes complémentaires (par exemple, les litiges avec ces organismes en matière de recouvrement des parts complémentaires). </w:t>
      </w:r>
    </w:p>
    <w:p w14:paraId="3A8A169B" w14:textId="77777777" w:rsidR="004274B6" w:rsidRDefault="004274B6" w:rsidP="0084545A">
      <w:pPr>
        <w:keepNext/>
        <w:keepLines/>
        <w:spacing w:after="0" w:line="240" w:lineRule="auto"/>
        <w:jc w:val="both"/>
        <w:rPr>
          <w:color w:val="000000" w:themeColor="text1"/>
        </w:rPr>
      </w:pPr>
    </w:p>
    <w:p w14:paraId="5E91FB71" w14:textId="7F9457C4" w:rsidR="004274B6" w:rsidRDefault="004274B6" w:rsidP="0084545A">
      <w:pPr>
        <w:spacing w:after="0" w:line="240" w:lineRule="auto"/>
        <w:jc w:val="both"/>
        <w:rPr>
          <w:rFonts w:eastAsia="Times New Roman" w:cstheme="minorHAnsi"/>
          <w:color w:val="000000" w:themeColor="text1"/>
          <w:lang w:eastAsia="fr-FR"/>
        </w:rPr>
      </w:pPr>
      <w:r w:rsidRPr="004274B6">
        <w:rPr>
          <w:rFonts w:eastAsia="Times New Roman" w:cstheme="minorHAnsi"/>
          <w:color w:val="000000" w:themeColor="text1"/>
          <w:u w:val="single"/>
          <w:lang w:eastAsia="fr-FR"/>
        </w:rPr>
        <w:t>Date d’entrée en vigueur</w:t>
      </w:r>
      <w:r>
        <w:rPr>
          <w:rFonts w:eastAsia="Times New Roman" w:cstheme="minorHAnsi"/>
          <w:color w:val="000000" w:themeColor="text1"/>
          <w:lang w:eastAsia="fr-FR"/>
        </w:rPr>
        <w:t> : 1</w:t>
      </w:r>
      <w:r w:rsidRPr="00E82766">
        <w:rPr>
          <w:rFonts w:eastAsia="Times New Roman" w:cstheme="minorHAnsi"/>
          <w:color w:val="000000" w:themeColor="text1"/>
          <w:vertAlign w:val="superscript"/>
          <w:lang w:eastAsia="fr-FR"/>
        </w:rPr>
        <w:t>er</w:t>
      </w:r>
      <w:r>
        <w:rPr>
          <w:rFonts w:eastAsia="Times New Roman" w:cstheme="minorHAnsi"/>
          <w:color w:val="000000" w:themeColor="text1"/>
          <w:lang w:eastAsia="fr-FR"/>
        </w:rPr>
        <w:t xml:space="preserve"> janvier 2022.</w:t>
      </w:r>
    </w:p>
    <w:p w14:paraId="78F7FAC7" w14:textId="5C5C98CE" w:rsidR="000706B1" w:rsidRDefault="000706B1" w:rsidP="0084545A">
      <w:pPr>
        <w:spacing w:after="0" w:line="240" w:lineRule="auto"/>
        <w:jc w:val="both"/>
        <w:rPr>
          <w:rFonts w:eastAsia="Times New Roman" w:cstheme="minorHAnsi"/>
          <w:color w:val="000000" w:themeColor="text1"/>
          <w:lang w:eastAsia="fr-FR"/>
        </w:rPr>
      </w:pPr>
    </w:p>
    <w:p w14:paraId="58571CD8" w14:textId="6FA05DFF" w:rsidR="000706B1" w:rsidRDefault="000706B1" w:rsidP="0084545A">
      <w:pPr>
        <w:spacing w:after="0" w:line="240" w:lineRule="auto"/>
        <w:jc w:val="both"/>
        <w:rPr>
          <w:rFonts w:eastAsia="Times New Roman" w:cstheme="minorHAnsi"/>
          <w:color w:val="000000" w:themeColor="text1"/>
          <w:lang w:eastAsia="fr-FR"/>
        </w:rPr>
      </w:pPr>
    </w:p>
    <w:p w14:paraId="7730151D" w14:textId="74BC86AC" w:rsidR="000706B1" w:rsidRPr="00264876" w:rsidRDefault="000706B1" w:rsidP="00CD46D9">
      <w:pPr>
        <w:pBdr>
          <w:bottom w:val="single" w:sz="6" w:space="1" w:color="auto"/>
        </w:pBdr>
        <w:spacing w:after="0" w:line="240" w:lineRule="auto"/>
        <w:jc w:val="both"/>
        <w:rPr>
          <w:rFonts w:eastAsia="Times New Roman" w:cstheme="minorHAnsi"/>
          <w:b/>
          <w:color w:val="44546A" w:themeColor="text2"/>
          <w:sz w:val="24"/>
          <w:lang w:eastAsia="fr-FR"/>
        </w:rPr>
      </w:pPr>
      <w:r w:rsidRPr="00264876">
        <w:rPr>
          <w:rFonts w:eastAsia="Times New Roman" w:cstheme="minorHAnsi"/>
          <w:b/>
          <w:color w:val="44546A" w:themeColor="text2"/>
          <w:sz w:val="24"/>
          <w:lang w:eastAsia="fr-FR"/>
        </w:rPr>
        <w:t xml:space="preserve">LE RENONCEMENT EN COURS DE DROIT A LA COMPLEMENTAIRE SANTE SOLIDAIRE </w:t>
      </w:r>
    </w:p>
    <w:p w14:paraId="0AA6E73C" w14:textId="77777777" w:rsidR="000706B1" w:rsidRPr="0062762F" w:rsidRDefault="000706B1">
      <w:pPr>
        <w:pStyle w:val="Paragraphedeliste"/>
        <w:widowControl w:val="0"/>
        <w:suppressAutoHyphens/>
        <w:overflowPunct w:val="0"/>
        <w:autoSpaceDE w:val="0"/>
        <w:autoSpaceDN w:val="0"/>
        <w:adjustRightInd w:val="0"/>
        <w:spacing w:after="120" w:line="240" w:lineRule="auto"/>
        <w:ind w:right="34"/>
        <w:jc w:val="both"/>
        <w:textAlignment w:val="baseline"/>
        <w:rPr>
          <w:rFonts w:eastAsia="Times New Roman" w:cstheme="minorHAnsi"/>
          <w:color w:val="000000" w:themeColor="text1"/>
          <w:lang w:eastAsia="fr-FR"/>
        </w:rPr>
      </w:pPr>
    </w:p>
    <w:p w14:paraId="40019947" w14:textId="77777777" w:rsidR="000706B1" w:rsidRPr="0062762F" w:rsidRDefault="000706B1" w:rsidP="0084545A">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62762F">
        <w:rPr>
          <w:rFonts w:eastAsia="Times New Roman" w:cstheme="minorHAnsi"/>
          <w:color w:val="000000" w:themeColor="text1"/>
          <w:lang w:eastAsia="fr-FR"/>
        </w:rPr>
        <w:t xml:space="preserve">Comme les assurés qui disposent d’un contrat de complémentaire du secteur privé, les bénéficiaires de la complémentaire santé solidaire pourront désormais </w:t>
      </w:r>
      <w:r>
        <w:rPr>
          <w:rFonts w:eastAsia="Times New Roman" w:cstheme="minorHAnsi"/>
          <w:color w:val="000000" w:themeColor="text1"/>
          <w:lang w:eastAsia="fr-FR"/>
        </w:rPr>
        <w:t xml:space="preserve">interrompre </w:t>
      </w:r>
      <w:r w:rsidRPr="0062762F">
        <w:rPr>
          <w:rFonts w:eastAsia="Times New Roman" w:cstheme="minorHAnsi"/>
          <w:color w:val="000000" w:themeColor="text1"/>
          <w:lang w:eastAsia="fr-FR"/>
        </w:rPr>
        <w:t>leur contrat</w:t>
      </w:r>
      <w:r>
        <w:rPr>
          <w:rFonts w:eastAsia="Times New Roman" w:cstheme="minorHAnsi"/>
          <w:color w:val="000000" w:themeColor="text1"/>
          <w:lang w:eastAsia="fr-FR"/>
        </w:rPr>
        <w:t xml:space="preserve"> de complémentaire santé solidaire</w:t>
      </w:r>
      <w:r w:rsidRPr="0062762F">
        <w:rPr>
          <w:rFonts w:eastAsia="Times New Roman" w:cstheme="minorHAnsi"/>
          <w:color w:val="000000" w:themeColor="text1"/>
          <w:lang w:eastAsia="fr-FR"/>
        </w:rPr>
        <w:t xml:space="preserve"> en cours de droit, afin de pouvoir adapter leur couverture au changement de leur situation, par exemple lorsqu’ils reprennent une activité professionnelle salariée et souhaitent bénéficier de la complémentaire santé de leur entreprise, ou s’ils veulent bénéficier de la complémentaire santé solidaire sans participation du fait d’une dégradation de leur situation financière.</w:t>
      </w:r>
    </w:p>
    <w:p w14:paraId="18620047" w14:textId="77777777" w:rsidR="000706B1" w:rsidRPr="0062762F" w:rsidRDefault="000706B1" w:rsidP="0084545A">
      <w:pPr>
        <w:pStyle w:val="Paragraphedeliste"/>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02B16236" w14:textId="77777777" w:rsidR="000706B1" w:rsidRDefault="000706B1" w:rsidP="00CD46D9">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E82766">
        <w:rPr>
          <w:rFonts w:eastAsia="Times New Roman" w:cstheme="minorHAnsi"/>
          <w:color w:val="000000" w:themeColor="text1"/>
          <w:lang w:eastAsia="fr-FR"/>
        </w:rPr>
        <w:t>Il sera possible de renoncer à la complémentaire santé solidaire en cours de droit </w:t>
      </w:r>
      <w:r w:rsidRPr="00E82766">
        <w:rPr>
          <w:rFonts w:eastAsia="Times New Roman" w:cstheme="minorHAnsi"/>
          <w:b/>
          <w:bCs/>
          <w:color w:val="000000" w:themeColor="text1"/>
          <w:lang w:eastAsia="fr-FR"/>
        </w:rPr>
        <w:t>sans frais ni pénalités</w:t>
      </w:r>
      <w:r w:rsidRPr="00E82766">
        <w:rPr>
          <w:rFonts w:eastAsia="Times New Roman" w:cstheme="minorHAnsi"/>
          <w:color w:val="000000" w:themeColor="text1"/>
          <w:lang w:eastAsia="fr-FR"/>
        </w:rPr>
        <w:t xml:space="preserve">. L’interruption </w:t>
      </w:r>
      <w:r w:rsidRPr="00E82766">
        <w:rPr>
          <w:rFonts w:eastAsia="Times New Roman" w:cstheme="minorHAnsi"/>
          <w:b/>
          <w:bCs/>
          <w:color w:val="000000" w:themeColor="text1"/>
          <w:lang w:eastAsia="fr-FR"/>
        </w:rPr>
        <w:t>du contrat prendra effet à la fin du mois de réception, par l’organisme gestionnaire de la notification par l’adhérent</w:t>
      </w:r>
      <w:r w:rsidRPr="00E82766">
        <w:rPr>
          <w:rFonts w:eastAsia="Times New Roman" w:cstheme="minorHAnsi"/>
          <w:color w:val="000000" w:themeColor="text1"/>
          <w:lang w:eastAsia="fr-FR"/>
        </w:rPr>
        <w:t>. L’organisme gestionnaire met fin au droit C2S au dernier jour du mois de la réception de la demande de renoncement au droit.</w:t>
      </w:r>
      <w:r>
        <w:rPr>
          <w:rFonts w:eastAsia="Times New Roman" w:cstheme="minorHAnsi"/>
          <w:color w:val="000000" w:themeColor="text1"/>
          <w:lang w:eastAsia="fr-FR"/>
        </w:rPr>
        <w:t xml:space="preserve"> Une fois le droit fermé, il ne sera pas possible de le ré-ouvrir.</w:t>
      </w:r>
    </w:p>
    <w:p w14:paraId="6A1170DB" w14:textId="77777777" w:rsidR="000706B1" w:rsidRDefault="000706B1">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3A236717" w14:textId="0FBC5D84" w:rsidR="000706B1" w:rsidRPr="00E82766" w:rsidRDefault="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Pr>
          <w:rFonts w:eastAsia="Times New Roman" w:cstheme="minorHAnsi"/>
          <w:color w:val="000000" w:themeColor="text1"/>
          <w:lang w:eastAsia="fr-FR"/>
        </w:rPr>
        <w:t>Un décret d’application prévoira les modalités opérationnelles de cette mesure :</w:t>
      </w:r>
    </w:p>
    <w:p w14:paraId="7B869D32" w14:textId="64A9546D" w:rsidR="000706B1" w:rsidRPr="002C1412" w:rsidRDefault="000706B1">
      <w:pPr>
        <w:widowControl w:val="0"/>
        <w:numPr>
          <w:ilvl w:val="0"/>
          <w:numId w:val="10"/>
        </w:numPr>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E82766">
        <w:rPr>
          <w:rFonts w:eastAsia="Times New Roman" w:cstheme="minorHAnsi"/>
          <w:color w:val="000000" w:themeColor="text1"/>
          <w:lang w:eastAsia="fr-FR"/>
        </w:rPr>
        <w:t xml:space="preserve">La personne ayant fait valoir ce renoncement conserve le droit à demander le bénéfice de cette protection selon les conditions prévues à l’article L.861-1. </w:t>
      </w:r>
    </w:p>
    <w:p w14:paraId="764990A8" w14:textId="77777777" w:rsidR="000706B1" w:rsidRPr="00E82766" w:rsidRDefault="000706B1">
      <w:pPr>
        <w:widowControl w:val="0"/>
        <w:numPr>
          <w:ilvl w:val="0"/>
          <w:numId w:val="10"/>
        </w:numPr>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E82766">
        <w:rPr>
          <w:rFonts w:eastAsia="Times New Roman" w:cstheme="minorHAnsi"/>
          <w:color w:val="000000" w:themeColor="text1"/>
          <w:lang w:eastAsia="fr-FR"/>
        </w:rPr>
        <w:t xml:space="preserve">Dans le cas où le bénéficiaire renonce à son droit à la C2S avec participation financière afin de demander l’ouverture d’un nouveau droit de C2S sans participation financière et qu’il satisfait les conditions de ressources, </w:t>
      </w:r>
      <w:r w:rsidRPr="00E82766">
        <w:rPr>
          <w:rFonts w:eastAsia="Times New Roman" w:cstheme="minorHAnsi"/>
          <w:b/>
          <w:bCs/>
          <w:color w:val="000000" w:themeColor="text1"/>
          <w:lang w:eastAsia="fr-FR"/>
        </w:rPr>
        <w:t>les organismes gestionnaires ouvrent ce nouveau droit le jour suivant l’interruption du droit précédent</w:t>
      </w:r>
      <w:r w:rsidRPr="00E82766">
        <w:rPr>
          <w:rFonts w:eastAsia="Times New Roman" w:cstheme="minorHAnsi"/>
          <w:color w:val="000000" w:themeColor="text1"/>
          <w:lang w:eastAsia="fr-FR"/>
        </w:rPr>
        <w:t>.</w:t>
      </w:r>
    </w:p>
    <w:p w14:paraId="7F3F62DB" w14:textId="77777777" w:rsidR="000706B1" w:rsidRDefault="000706B1">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30ED85D7" w14:textId="2CEBBB59" w:rsidR="00B674D7" w:rsidRDefault="000706B1" w:rsidP="0084545A">
      <w:pPr>
        <w:spacing w:after="0" w:line="240" w:lineRule="auto"/>
        <w:jc w:val="both"/>
        <w:rPr>
          <w:rFonts w:eastAsia="Times New Roman" w:cstheme="minorHAnsi"/>
          <w:color w:val="000000" w:themeColor="text1"/>
          <w:lang w:eastAsia="fr-FR"/>
        </w:rPr>
      </w:pPr>
      <w:r w:rsidRPr="004274B6">
        <w:rPr>
          <w:rFonts w:eastAsia="Times New Roman" w:cstheme="minorHAnsi"/>
          <w:color w:val="000000" w:themeColor="text1"/>
          <w:u w:val="single"/>
          <w:lang w:eastAsia="fr-FR"/>
        </w:rPr>
        <w:t>Date d’entrée en vigueur</w:t>
      </w:r>
      <w:r>
        <w:rPr>
          <w:rFonts w:eastAsia="Times New Roman" w:cstheme="minorHAnsi"/>
          <w:color w:val="000000" w:themeColor="text1"/>
          <w:lang w:eastAsia="fr-FR"/>
        </w:rPr>
        <w:t> : 1</w:t>
      </w:r>
      <w:r w:rsidRPr="00E82766">
        <w:rPr>
          <w:rFonts w:eastAsia="Times New Roman" w:cstheme="minorHAnsi"/>
          <w:color w:val="000000" w:themeColor="text1"/>
          <w:vertAlign w:val="superscript"/>
          <w:lang w:eastAsia="fr-FR"/>
        </w:rPr>
        <w:t>er</w:t>
      </w:r>
      <w:r>
        <w:rPr>
          <w:rFonts w:eastAsia="Times New Roman" w:cstheme="minorHAnsi"/>
          <w:color w:val="000000" w:themeColor="text1"/>
          <w:lang w:eastAsia="fr-FR"/>
        </w:rPr>
        <w:t xml:space="preserve"> </w:t>
      </w:r>
      <w:r w:rsidR="00ED4A25">
        <w:rPr>
          <w:rFonts w:eastAsia="Times New Roman" w:cstheme="minorHAnsi"/>
          <w:color w:val="000000" w:themeColor="text1"/>
          <w:lang w:eastAsia="fr-FR"/>
        </w:rPr>
        <w:t>juin</w:t>
      </w:r>
      <w:bookmarkStart w:id="0" w:name="_GoBack"/>
      <w:bookmarkEnd w:id="0"/>
      <w:r>
        <w:rPr>
          <w:rFonts w:eastAsia="Times New Roman" w:cstheme="minorHAnsi"/>
          <w:color w:val="000000" w:themeColor="text1"/>
          <w:lang w:eastAsia="fr-FR"/>
        </w:rPr>
        <w:t xml:space="preserve"> 2022.</w:t>
      </w:r>
    </w:p>
    <w:p w14:paraId="08163266" w14:textId="77777777" w:rsidR="0084545A" w:rsidRPr="002C1412" w:rsidRDefault="0084545A" w:rsidP="0084545A">
      <w:pPr>
        <w:spacing w:after="0" w:line="240" w:lineRule="auto"/>
        <w:jc w:val="both"/>
        <w:rPr>
          <w:rFonts w:eastAsia="Times New Roman" w:cstheme="minorHAnsi"/>
          <w:color w:val="000000" w:themeColor="text1"/>
          <w:lang w:eastAsia="fr-FR"/>
        </w:rPr>
      </w:pPr>
    </w:p>
    <w:p w14:paraId="233458E8" w14:textId="77777777" w:rsidR="00B674D7" w:rsidRPr="00264876" w:rsidRDefault="004274B6" w:rsidP="00CD46D9">
      <w:pPr>
        <w:pBdr>
          <w:bottom w:val="single" w:sz="6" w:space="1" w:color="auto"/>
        </w:pBdr>
        <w:spacing w:after="0" w:line="240" w:lineRule="auto"/>
        <w:jc w:val="both"/>
        <w:rPr>
          <w:rFonts w:eastAsia="Times New Roman" w:cstheme="minorHAnsi"/>
          <w:b/>
          <w:color w:val="44546A" w:themeColor="text2"/>
          <w:sz w:val="24"/>
          <w:lang w:eastAsia="fr-FR"/>
        </w:rPr>
      </w:pPr>
      <w:r w:rsidRPr="00264876">
        <w:rPr>
          <w:rFonts w:eastAsia="Times New Roman" w:cstheme="minorHAnsi"/>
          <w:b/>
          <w:color w:val="44546A" w:themeColor="text2"/>
          <w:sz w:val="24"/>
          <w:lang w:eastAsia="fr-FR"/>
        </w:rPr>
        <w:lastRenderedPageBreak/>
        <w:t>PREVOIR DES EXCEPTIONS A LA DUREE D’UN AN DU DROIT A LA COMPLEMENTAIRE SANTE SOLIDAIRE</w:t>
      </w:r>
    </w:p>
    <w:p w14:paraId="2A4380EB" w14:textId="77777777" w:rsidR="00B674D7" w:rsidRPr="0062762F" w:rsidRDefault="00B674D7" w:rsidP="00CD46D9">
      <w:pPr>
        <w:keepNext/>
        <w:keepLines/>
        <w:spacing w:after="0" w:line="240" w:lineRule="auto"/>
        <w:jc w:val="both"/>
        <w:rPr>
          <w:color w:val="000000" w:themeColor="text1"/>
          <w:sz w:val="24"/>
        </w:rPr>
      </w:pPr>
    </w:p>
    <w:p w14:paraId="7AB57988" w14:textId="52948BFE" w:rsidR="004274B6" w:rsidRPr="004274B6" w:rsidRDefault="007C0480" w:rsidP="0084545A">
      <w:pPr>
        <w:widowControl w:val="0"/>
        <w:suppressAutoHyphens/>
        <w:overflowPunct w:val="0"/>
        <w:autoSpaceDE w:val="0"/>
        <w:autoSpaceDN w:val="0"/>
        <w:adjustRightInd w:val="0"/>
        <w:spacing w:after="0" w:line="240" w:lineRule="auto"/>
        <w:ind w:right="33"/>
        <w:jc w:val="both"/>
        <w:textAlignment w:val="baseline"/>
        <w:rPr>
          <w:color w:val="000000" w:themeColor="text1"/>
        </w:rPr>
      </w:pPr>
      <w:r>
        <w:rPr>
          <w:color w:val="000000" w:themeColor="text1"/>
        </w:rPr>
        <w:t>La LFSS 2022</w:t>
      </w:r>
      <w:r w:rsidR="004274B6" w:rsidRPr="004274B6">
        <w:rPr>
          <w:color w:val="000000" w:themeColor="text1"/>
        </w:rPr>
        <w:t xml:space="preserve"> prévoit des exceptions à la durée d’un an du droit à la complémentaire santé solidaire, notamment pour garantir la continuité de leurs droits à ce dispositif. Ces exceptions s</w:t>
      </w:r>
      <w:r w:rsidR="00CD46D9">
        <w:rPr>
          <w:color w:val="000000" w:themeColor="text1"/>
        </w:rPr>
        <w:t>er</w:t>
      </w:r>
      <w:r w:rsidR="004274B6" w:rsidRPr="004274B6">
        <w:rPr>
          <w:color w:val="000000" w:themeColor="text1"/>
        </w:rPr>
        <w:t>ont précisées par décret :</w:t>
      </w:r>
    </w:p>
    <w:p w14:paraId="1F043F29" w14:textId="77777777" w:rsidR="004274B6" w:rsidRPr="004274B6" w:rsidRDefault="004274B6" w:rsidP="0084545A">
      <w:pPr>
        <w:widowControl w:val="0"/>
        <w:suppressAutoHyphens/>
        <w:overflowPunct w:val="0"/>
        <w:autoSpaceDE w:val="0"/>
        <w:autoSpaceDN w:val="0"/>
        <w:adjustRightInd w:val="0"/>
        <w:spacing w:after="0" w:line="240" w:lineRule="auto"/>
        <w:ind w:right="33"/>
        <w:jc w:val="both"/>
        <w:textAlignment w:val="baseline"/>
        <w:rPr>
          <w:color w:val="000000" w:themeColor="text1"/>
        </w:rPr>
      </w:pPr>
      <w:r w:rsidRPr="004274B6">
        <w:rPr>
          <w:color w:val="000000" w:themeColor="text1"/>
        </w:rPr>
        <w:t xml:space="preserve"> </w:t>
      </w:r>
    </w:p>
    <w:p w14:paraId="00F7B8FA" w14:textId="77777777" w:rsidR="004274B6" w:rsidRPr="004274B6" w:rsidRDefault="004274B6" w:rsidP="0084545A">
      <w:pPr>
        <w:widowControl w:val="0"/>
        <w:suppressAutoHyphens/>
        <w:overflowPunct w:val="0"/>
        <w:autoSpaceDE w:val="0"/>
        <w:autoSpaceDN w:val="0"/>
        <w:adjustRightInd w:val="0"/>
        <w:spacing w:after="0" w:line="240" w:lineRule="auto"/>
        <w:ind w:right="33"/>
        <w:jc w:val="center"/>
        <w:textAlignment w:val="baseline"/>
        <w:rPr>
          <w:color w:val="000000" w:themeColor="text1"/>
        </w:rPr>
      </w:pPr>
      <w:r w:rsidRPr="004274B6">
        <w:rPr>
          <w:b/>
          <w:bCs/>
          <w:color w:val="000000" w:themeColor="text1"/>
          <w:u w:val="single"/>
        </w:rPr>
        <w:t>1. Intégration d’un majeur dans le foyer bénéficiaire de la C2S :</w:t>
      </w:r>
    </w:p>
    <w:p w14:paraId="3A800153" w14:textId="77777777" w:rsidR="004274B6" w:rsidRPr="004274B6" w:rsidRDefault="004274B6" w:rsidP="0084545A">
      <w:pPr>
        <w:widowControl w:val="0"/>
        <w:suppressAutoHyphens/>
        <w:overflowPunct w:val="0"/>
        <w:autoSpaceDE w:val="0"/>
        <w:autoSpaceDN w:val="0"/>
        <w:adjustRightInd w:val="0"/>
        <w:spacing w:after="0" w:line="240" w:lineRule="auto"/>
        <w:ind w:right="33"/>
        <w:jc w:val="both"/>
        <w:textAlignment w:val="baseline"/>
        <w:rPr>
          <w:color w:val="000000" w:themeColor="text1"/>
        </w:rPr>
      </w:pPr>
      <w:r w:rsidRPr="004274B6">
        <w:rPr>
          <w:color w:val="000000" w:themeColor="text1"/>
        </w:rPr>
        <w:t>Il est actuellement impossible pour un adulte majeur non protégé (conjoint, concubin) qui rejoint un foyer bénéficiaire de la complémentaire santé solidaire d’en bénéficier lorsqu’il intègre le foyer : il restera donc non couvert jusqu’à ce que le droit du foyer expire et qu’ils puissent réaliser une demande commune en tant que nouveau foyer.</w:t>
      </w:r>
    </w:p>
    <w:p w14:paraId="5BBF90F6" w14:textId="77777777" w:rsidR="00C74C4A" w:rsidRPr="004274B6" w:rsidRDefault="00C71CEA" w:rsidP="0084545A">
      <w:pPr>
        <w:widowControl w:val="0"/>
        <w:numPr>
          <w:ilvl w:val="0"/>
          <w:numId w:val="11"/>
        </w:numPr>
        <w:suppressAutoHyphens/>
        <w:overflowPunct w:val="0"/>
        <w:autoSpaceDE w:val="0"/>
        <w:autoSpaceDN w:val="0"/>
        <w:adjustRightInd w:val="0"/>
        <w:spacing w:after="0" w:line="240" w:lineRule="auto"/>
        <w:ind w:right="33"/>
        <w:jc w:val="both"/>
        <w:textAlignment w:val="baseline"/>
        <w:rPr>
          <w:color w:val="000000" w:themeColor="text1"/>
        </w:rPr>
      </w:pPr>
      <w:r w:rsidRPr="004274B6">
        <w:rPr>
          <w:color w:val="000000" w:themeColor="text1"/>
        </w:rPr>
        <w:t xml:space="preserve">Solution : permettre que la période d’un an du droit à la complémentaire puisse être réduite, ce qui permettra aux foyers nouvellement recomposés de réaliser une demande commune avant l’expiration du droit. </w:t>
      </w:r>
    </w:p>
    <w:p w14:paraId="5F29216E" w14:textId="77777777" w:rsidR="00C74C4A" w:rsidRPr="004274B6" w:rsidRDefault="00C71CEA" w:rsidP="0084545A">
      <w:pPr>
        <w:widowControl w:val="0"/>
        <w:numPr>
          <w:ilvl w:val="0"/>
          <w:numId w:val="11"/>
        </w:numPr>
        <w:suppressAutoHyphens/>
        <w:overflowPunct w:val="0"/>
        <w:autoSpaceDE w:val="0"/>
        <w:autoSpaceDN w:val="0"/>
        <w:adjustRightInd w:val="0"/>
        <w:spacing w:after="0" w:line="240" w:lineRule="auto"/>
        <w:ind w:right="33"/>
        <w:jc w:val="both"/>
        <w:textAlignment w:val="baseline"/>
        <w:rPr>
          <w:color w:val="000000" w:themeColor="text1"/>
        </w:rPr>
      </w:pPr>
      <w:r w:rsidRPr="004274B6">
        <w:rPr>
          <w:color w:val="000000" w:themeColor="text1"/>
        </w:rPr>
        <w:t>Si le nouveau foyer est éligible à la complémentaire santé solidaire, alors les gestionnaires interrompront le droit antérieur pour en ouvrir un nouveau, pour une période d’un an.</w:t>
      </w:r>
    </w:p>
    <w:p w14:paraId="47F460A9" w14:textId="77777777" w:rsidR="00C74C4A" w:rsidRDefault="00C71CEA" w:rsidP="0084545A">
      <w:pPr>
        <w:widowControl w:val="0"/>
        <w:numPr>
          <w:ilvl w:val="0"/>
          <w:numId w:val="11"/>
        </w:numPr>
        <w:suppressAutoHyphens/>
        <w:overflowPunct w:val="0"/>
        <w:autoSpaceDE w:val="0"/>
        <w:autoSpaceDN w:val="0"/>
        <w:adjustRightInd w:val="0"/>
        <w:spacing w:after="0" w:line="240" w:lineRule="auto"/>
        <w:ind w:right="33"/>
        <w:jc w:val="both"/>
        <w:textAlignment w:val="baseline"/>
        <w:rPr>
          <w:color w:val="000000" w:themeColor="text1"/>
        </w:rPr>
      </w:pPr>
      <w:r w:rsidRPr="004274B6">
        <w:rPr>
          <w:color w:val="000000" w:themeColor="text1"/>
        </w:rPr>
        <w:t>Si le nouveau foyer n’est pas éligible, les organismes gestionnaires laissent le précédent droit du foyer courir jusqu’à expiration.</w:t>
      </w:r>
    </w:p>
    <w:p w14:paraId="052D1C39" w14:textId="77777777" w:rsidR="004274B6" w:rsidRPr="004274B6" w:rsidRDefault="004274B6" w:rsidP="0084545A">
      <w:pPr>
        <w:widowControl w:val="0"/>
        <w:suppressAutoHyphens/>
        <w:overflowPunct w:val="0"/>
        <w:autoSpaceDE w:val="0"/>
        <w:autoSpaceDN w:val="0"/>
        <w:adjustRightInd w:val="0"/>
        <w:spacing w:after="0" w:line="240" w:lineRule="auto"/>
        <w:ind w:left="720" w:right="33"/>
        <w:jc w:val="both"/>
        <w:textAlignment w:val="baseline"/>
        <w:rPr>
          <w:color w:val="000000" w:themeColor="text1"/>
        </w:rPr>
      </w:pPr>
    </w:p>
    <w:p w14:paraId="2EA06E9B" w14:textId="77777777" w:rsidR="004274B6" w:rsidRPr="004274B6" w:rsidRDefault="004274B6" w:rsidP="0084545A">
      <w:pPr>
        <w:widowControl w:val="0"/>
        <w:suppressAutoHyphens/>
        <w:overflowPunct w:val="0"/>
        <w:autoSpaceDE w:val="0"/>
        <w:autoSpaceDN w:val="0"/>
        <w:adjustRightInd w:val="0"/>
        <w:spacing w:after="0" w:line="240" w:lineRule="auto"/>
        <w:ind w:right="33"/>
        <w:jc w:val="center"/>
        <w:textAlignment w:val="baseline"/>
        <w:rPr>
          <w:color w:val="000000" w:themeColor="text1"/>
        </w:rPr>
      </w:pPr>
      <w:r w:rsidRPr="004274B6">
        <w:rPr>
          <w:b/>
          <w:bCs/>
          <w:color w:val="000000" w:themeColor="text1"/>
          <w:u w:val="single"/>
        </w:rPr>
        <w:t>2. Eviter le renouvellement décalé des droits de C2S au sein d’un même foyer (problème rencontré par les organismes gestionnaires) :</w:t>
      </w:r>
    </w:p>
    <w:p w14:paraId="5BBFF71D" w14:textId="77777777" w:rsidR="004274B6" w:rsidRPr="004274B6" w:rsidRDefault="004274B6" w:rsidP="0084545A">
      <w:pPr>
        <w:widowControl w:val="0"/>
        <w:suppressAutoHyphens/>
        <w:overflowPunct w:val="0"/>
        <w:autoSpaceDE w:val="0"/>
        <w:autoSpaceDN w:val="0"/>
        <w:adjustRightInd w:val="0"/>
        <w:spacing w:after="0" w:line="240" w:lineRule="auto"/>
        <w:ind w:right="33"/>
        <w:jc w:val="both"/>
        <w:textAlignment w:val="baseline"/>
        <w:rPr>
          <w:color w:val="000000" w:themeColor="text1"/>
        </w:rPr>
      </w:pPr>
      <w:r w:rsidRPr="004274B6">
        <w:rPr>
          <w:color w:val="000000" w:themeColor="text1"/>
        </w:rPr>
        <w:t>Si un bénéficiaire de la C2S souhaite intégrer un foyer disposant aussi de cette protection, le foyer complété du majeur réalise une demande commune de renouvellement au moment de la première expiration de l’un des droits ouverts.</w:t>
      </w:r>
    </w:p>
    <w:p w14:paraId="6E780653" w14:textId="77777777" w:rsidR="00C74C4A" w:rsidRPr="004274B6" w:rsidRDefault="00C71CEA" w:rsidP="0084545A">
      <w:pPr>
        <w:widowControl w:val="0"/>
        <w:numPr>
          <w:ilvl w:val="0"/>
          <w:numId w:val="12"/>
        </w:numPr>
        <w:suppressAutoHyphens/>
        <w:overflowPunct w:val="0"/>
        <w:autoSpaceDE w:val="0"/>
        <w:autoSpaceDN w:val="0"/>
        <w:adjustRightInd w:val="0"/>
        <w:spacing w:after="0" w:line="240" w:lineRule="auto"/>
        <w:ind w:right="33"/>
        <w:jc w:val="both"/>
        <w:textAlignment w:val="baseline"/>
        <w:rPr>
          <w:color w:val="000000" w:themeColor="text1"/>
        </w:rPr>
      </w:pPr>
      <w:r w:rsidRPr="004274B6">
        <w:rPr>
          <w:color w:val="000000" w:themeColor="text1"/>
        </w:rPr>
        <w:t xml:space="preserve">Le second droit (celui avec l’échéance la plus tardive) est interrompu par les organismes gestionnaires le jour précédant l’ouverture du nouveau droit commun à la protection complémentaire en matière de santé. </w:t>
      </w:r>
    </w:p>
    <w:p w14:paraId="0D97827C" w14:textId="77777777" w:rsidR="00C74C4A" w:rsidRPr="004274B6" w:rsidRDefault="00C71CEA" w:rsidP="0084545A">
      <w:pPr>
        <w:widowControl w:val="0"/>
        <w:numPr>
          <w:ilvl w:val="0"/>
          <w:numId w:val="12"/>
        </w:numPr>
        <w:suppressAutoHyphens/>
        <w:overflowPunct w:val="0"/>
        <w:autoSpaceDE w:val="0"/>
        <w:autoSpaceDN w:val="0"/>
        <w:adjustRightInd w:val="0"/>
        <w:spacing w:after="0" w:line="240" w:lineRule="auto"/>
        <w:ind w:right="33"/>
        <w:jc w:val="both"/>
        <w:textAlignment w:val="baseline"/>
        <w:rPr>
          <w:color w:val="000000" w:themeColor="text1"/>
        </w:rPr>
      </w:pPr>
      <w:r w:rsidRPr="004274B6">
        <w:rPr>
          <w:color w:val="000000" w:themeColor="text1"/>
        </w:rPr>
        <w:t xml:space="preserve">Dans le cas où le nouveau foyer ne remplit pas les conditions pour bénéficier du droit à cette protection, les droits antérieurs restent ouverts jusqu’à leur expiration. </w:t>
      </w:r>
    </w:p>
    <w:p w14:paraId="7A3D49D6" w14:textId="77777777" w:rsidR="004274B6" w:rsidRDefault="004274B6" w:rsidP="0084545A">
      <w:pPr>
        <w:spacing w:line="240" w:lineRule="auto"/>
        <w:jc w:val="both"/>
        <w:rPr>
          <w:color w:val="000000" w:themeColor="text1"/>
        </w:rPr>
      </w:pPr>
    </w:p>
    <w:p w14:paraId="1C468EEE" w14:textId="77777777" w:rsidR="004274B6" w:rsidRPr="0062762F" w:rsidRDefault="004274B6" w:rsidP="0084545A">
      <w:pPr>
        <w:spacing w:after="0" w:line="240" w:lineRule="auto"/>
        <w:jc w:val="both"/>
        <w:rPr>
          <w:rFonts w:eastAsia="Times New Roman" w:cstheme="minorHAnsi"/>
          <w:color w:val="000000" w:themeColor="text1"/>
          <w:lang w:eastAsia="fr-FR"/>
        </w:rPr>
      </w:pPr>
      <w:r w:rsidRPr="004274B6">
        <w:rPr>
          <w:rFonts w:eastAsia="Times New Roman" w:cstheme="minorHAnsi"/>
          <w:color w:val="000000" w:themeColor="text1"/>
          <w:u w:val="single"/>
          <w:lang w:eastAsia="fr-FR"/>
        </w:rPr>
        <w:t>Date d’entrée en vigueur</w:t>
      </w:r>
      <w:r>
        <w:rPr>
          <w:rFonts w:eastAsia="Times New Roman" w:cstheme="minorHAnsi"/>
          <w:color w:val="000000" w:themeColor="text1"/>
          <w:lang w:eastAsia="fr-FR"/>
        </w:rPr>
        <w:t> : 1</w:t>
      </w:r>
      <w:r w:rsidRPr="00E82766">
        <w:rPr>
          <w:rFonts w:eastAsia="Times New Roman" w:cstheme="minorHAnsi"/>
          <w:color w:val="000000" w:themeColor="text1"/>
          <w:vertAlign w:val="superscript"/>
          <w:lang w:eastAsia="fr-FR"/>
        </w:rPr>
        <w:t>er</w:t>
      </w:r>
      <w:r>
        <w:rPr>
          <w:rFonts w:eastAsia="Times New Roman" w:cstheme="minorHAnsi"/>
          <w:color w:val="000000" w:themeColor="text1"/>
          <w:lang w:eastAsia="fr-FR"/>
        </w:rPr>
        <w:t xml:space="preserve"> </w:t>
      </w:r>
      <w:r w:rsidR="00143674">
        <w:rPr>
          <w:rFonts w:eastAsia="Times New Roman" w:cstheme="minorHAnsi"/>
          <w:color w:val="000000" w:themeColor="text1"/>
          <w:lang w:eastAsia="fr-FR"/>
        </w:rPr>
        <w:t>avril</w:t>
      </w:r>
      <w:r>
        <w:rPr>
          <w:rFonts w:eastAsia="Times New Roman" w:cstheme="minorHAnsi"/>
          <w:color w:val="000000" w:themeColor="text1"/>
          <w:lang w:eastAsia="fr-FR"/>
        </w:rPr>
        <w:t xml:space="preserve"> 2022.</w:t>
      </w:r>
    </w:p>
    <w:p w14:paraId="59E6016C" w14:textId="1DF9BB4E" w:rsidR="00193E9E" w:rsidRDefault="00193E9E" w:rsidP="0084545A">
      <w:pPr>
        <w:spacing w:line="240" w:lineRule="auto"/>
        <w:jc w:val="both"/>
        <w:rPr>
          <w:color w:val="000000" w:themeColor="text1"/>
        </w:rPr>
      </w:pPr>
    </w:p>
    <w:p w14:paraId="01A2C74C" w14:textId="77777777" w:rsidR="002C1412" w:rsidRPr="00264876" w:rsidRDefault="002C1412" w:rsidP="00CD46D9">
      <w:pPr>
        <w:pBdr>
          <w:bottom w:val="single" w:sz="6" w:space="1" w:color="auto"/>
        </w:pBdr>
        <w:spacing w:after="0" w:line="240" w:lineRule="auto"/>
        <w:jc w:val="both"/>
        <w:rPr>
          <w:rFonts w:eastAsia="Times New Roman" w:cstheme="minorHAnsi"/>
          <w:b/>
          <w:color w:val="44546A" w:themeColor="text2"/>
          <w:sz w:val="24"/>
          <w:lang w:eastAsia="fr-FR"/>
        </w:rPr>
      </w:pPr>
      <w:r w:rsidRPr="00264876">
        <w:rPr>
          <w:rFonts w:eastAsia="Times New Roman" w:cstheme="minorHAnsi"/>
          <w:b/>
          <w:color w:val="44546A" w:themeColor="text2"/>
          <w:sz w:val="24"/>
          <w:lang w:eastAsia="fr-FR"/>
        </w:rPr>
        <w:t>ATTRIBUTION OU RENOUVELLEMENT DU DROIT A LA COMPLEMENTAIRE SANTE SOLIDAIRE SOUS CONDITIONS D’ACQUITTEMENT DES PARTICIPATIONS FINANCIERES DUES AU TITRE DE DROITS OUVERTS</w:t>
      </w:r>
    </w:p>
    <w:p w14:paraId="5CC44D2E" w14:textId="77777777" w:rsidR="002C1412" w:rsidRDefault="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71D1BBBF" w14:textId="77777777" w:rsidR="002C1412" w:rsidRDefault="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Pr>
          <w:rFonts w:eastAsia="Times New Roman" w:cstheme="minorHAnsi"/>
          <w:color w:val="000000" w:themeColor="text1"/>
          <w:lang w:eastAsia="fr-FR"/>
        </w:rPr>
        <w:t>La</w:t>
      </w:r>
      <w:r w:rsidRPr="007C0480">
        <w:rPr>
          <w:rFonts w:eastAsia="Times New Roman" w:cstheme="minorHAnsi"/>
          <w:color w:val="000000" w:themeColor="text1"/>
          <w:lang w:eastAsia="fr-FR"/>
        </w:rPr>
        <w:t xml:space="preserve"> </w:t>
      </w:r>
      <w:r>
        <w:rPr>
          <w:rFonts w:eastAsia="Times New Roman" w:cstheme="minorHAnsi"/>
          <w:color w:val="000000" w:themeColor="text1"/>
          <w:lang w:eastAsia="fr-FR"/>
        </w:rPr>
        <w:t>LFSS pour</w:t>
      </w:r>
      <w:r w:rsidRPr="007C0480">
        <w:rPr>
          <w:rFonts w:eastAsia="Times New Roman" w:cstheme="minorHAnsi"/>
          <w:color w:val="000000" w:themeColor="text1"/>
          <w:lang w:eastAsia="fr-FR"/>
        </w:rPr>
        <w:t xml:space="preserve"> 2022 prévoit que les assurés </w:t>
      </w:r>
      <w:r w:rsidRPr="007C0480">
        <w:rPr>
          <w:rFonts w:eastAsia="Times New Roman" w:cstheme="minorHAnsi"/>
          <w:b/>
          <w:bCs/>
          <w:color w:val="000000" w:themeColor="text1"/>
          <w:lang w:eastAsia="fr-FR"/>
        </w:rPr>
        <w:t xml:space="preserve">ne peuvent se voir attribuer ou renouveler un droit à la complémentaire santé solidaire que s’ils se sont acquittés des participations financières </w:t>
      </w:r>
      <w:r w:rsidRPr="007C0480">
        <w:rPr>
          <w:rFonts w:eastAsia="Times New Roman" w:cstheme="minorHAnsi"/>
          <w:color w:val="000000" w:themeColor="text1"/>
          <w:lang w:eastAsia="fr-FR"/>
        </w:rPr>
        <w:t xml:space="preserve">dues au titre de droits ouverts précédemment. </w:t>
      </w:r>
    </w:p>
    <w:p w14:paraId="161C721F" w14:textId="77777777" w:rsidR="002C1412" w:rsidRPr="007C0480" w:rsidRDefault="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5C52B9BF" w14:textId="77777777" w:rsidR="002C1412" w:rsidRPr="007C0480" w:rsidRDefault="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7C0480">
        <w:rPr>
          <w:rFonts w:eastAsia="Times New Roman" w:cstheme="minorHAnsi"/>
          <w:color w:val="000000" w:themeColor="text1"/>
          <w:lang w:eastAsia="fr-FR"/>
        </w:rPr>
        <w:t xml:space="preserve">Afin de protéger les foyers rencontrant des difficultés financières et de garantir la continuité de leur accès aux soins, il est prévu plusieurs </w:t>
      </w:r>
      <w:r w:rsidRPr="007C0480">
        <w:rPr>
          <w:rFonts w:eastAsia="Times New Roman" w:cstheme="minorHAnsi"/>
          <w:b/>
          <w:bCs/>
          <w:color w:val="000000" w:themeColor="text1"/>
          <w:lang w:eastAsia="fr-FR"/>
        </w:rPr>
        <w:t xml:space="preserve">exceptions à l’impossibilité d’ouvrir un droit, notamment si un accompagnement financier de ces personnes a été mis en place par leur caisse ou par leur organisme complémentaire </w:t>
      </w:r>
      <w:r w:rsidRPr="007C0480">
        <w:rPr>
          <w:rFonts w:eastAsia="Times New Roman" w:cstheme="minorHAnsi"/>
          <w:color w:val="000000" w:themeColor="text1"/>
          <w:lang w:eastAsia="fr-FR"/>
        </w:rPr>
        <w:t xml:space="preserve">(délai de paiement, remise ou réduction de dette). </w:t>
      </w:r>
    </w:p>
    <w:p w14:paraId="6CACADD9" w14:textId="77777777" w:rsidR="002C1412" w:rsidRPr="007C0480" w:rsidRDefault="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b/>
          <w:bCs/>
          <w:color w:val="000000" w:themeColor="text1"/>
          <w:lang w:eastAsia="fr-FR"/>
        </w:rPr>
      </w:pPr>
    </w:p>
    <w:p w14:paraId="37965964" w14:textId="2154E56C" w:rsidR="002C1412" w:rsidRPr="007C0480" w:rsidRDefault="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Pr>
          <w:rFonts w:eastAsia="Times New Roman" w:cstheme="minorHAnsi"/>
          <w:b/>
          <w:bCs/>
          <w:color w:val="000000" w:themeColor="text1"/>
          <w:lang w:eastAsia="fr-FR"/>
        </w:rPr>
        <w:t>Un décret d’application vient pré</w:t>
      </w:r>
      <w:r w:rsidR="00CD46D9">
        <w:rPr>
          <w:rFonts w:eastAsia="Times New Roman" w:cstheme="minorHAnsi"/>
          <w:b/>
          <w:bCs/>
          <w:color w:val="000000" w:themeColor="text1"/>
          <w:lang w:eastAsia="fr-FR"/>
        </w:rPr>
        <w:t>cise</w:t>
      </w:r>
      <w:r>
        <w:rPr>
          <w:rFonts w:eastAsia="Times New Roman" w:cstheme="minorHAnsi"/>
          <w:b/>
          <w:bCs/>
          <w:color w:val="000000" w:themeColor="text1"/>
          <w:lang w:eastAsia="fr-FR"/>
        </w:rPr>
        <w:t xml:space="preserve">r les modalités opérationnelles de cette mesure :  </w:t>
      </w:r>
    </w:p>
    <w:p w14:paraId="1DF01909" w14:textId="45FED481" w:rsidR="002C1412" w:rsidRDefault="002C1412">
      <w:pPr>
        <w:widowControl w:val="0"/>
        <w:numPr>
          <w:ilvl w:val="0"/>
          <w:numId w:val="13"/>
        </w:numPr>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566F58">
        <w:rPr>
          <w:rFonts w:eastAsia="Times New Roman" w:cstheme="minorHAnsi"/>
          <w:color w:val="000000" w:themeColor="text1"/>
          <w:lang w:eastAsia="fr-FR"/>
        </w:rPr>
        <w:t xml:space="preserve">Lorsque la caisse d’assurance maladie reçoit une demande de complémentaire santé solidaire, celle-ci devra vérifier si le précédent droit a été fermé dans le cadre d’une procédure d’un incident de paiement. Si tel est le cas, la caisse doit revenir vers l’organisme complémentaire </w:t>
      </w:r>
      <w:r w:rsidRPr="00566F58">
        <w:rPr>
          <w:rFonts w:eastAsia="Times New Roman" w:cstheme="minorHAnsi"/>
          <w:color w:val="000000" w:themeColor="text1"/>
          <w:lang w:eastAsia="fr-FR"/>
        </w:rPr>
        <w:lastRenderedPageBreak/>
        <w:t xml:space="preserve">pour savoir si le cas du bénéficiaire rentre dans les exceptions déterminées par décret. </w:t>
      </w:r>
    </w:p>
    <w:p w14:paraId="7CBEE270" w14:textId="69B9CBEB" w:rsidR="001F7FC4" w:rsidRPr="001B4C78" w:rsidRDefault="005578F7" w:rsidP="001B4C78">
      <w:pPr>
        <w:widowControl w:val="0"/>
        <w:numPr>
          <w:ilvl w:val="0"/>
          <w:numId w:val="13"/>
        </w:numPr>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Pr>
          <w:rFonts w:eastAsia="Times New Roman" w:cstheme="minorHAnsi"/>
          <w:color w:val="000000" w:themeColor="text1"/>
          <w:lang w:eastAsia="fr-FR"/>
        </w:rPr>
        <w:t xml:space="preserve">L’interdiction de se voir attribuer ou renouveler un droit à la complémentaire santé solidaire si l’assuré ne s’est pas acquitté des participations financières dues au titre </w:t>
      </w:r>
      <w:r w:rsidR="001B4C78">
        <w:rPr>
          <w:rFonts w:eastAsia="Times New Roman" w:cstheme="minorHAnsi"/>
          <w:color w:val="000000" w:themeColor="text1"/>
          <w:lang w:eastAsia="fr-FR"/>
        </w:rPr>
        <w:t xml:space="preserve">de droits ouverts précédemment n’est possible tant que les participations non-acquittées ne sont pas prescrites (soit un </w:t>
      </w:r>
      <w:r w:rsidR="001F7FC4" w:rsidRPr="001B4C78">
        <w:rPr>
          <w:rFonts w:eastAsia="Times New Roman" w:cstheme="minorHAnsi"/>
          <w:color w:val="000000" w:themeColor="text1"/>
          <w:lang w:eastAsia="fr-FR"/>
        </w:rPr>
        <w:t>délai</w:t>
      </w:r>
      <w:r w:rsidR="00325709">
        <w:rPr>
          <w:rFonts w:eastAsia="Times New Roman" w:cstheme="minorHAnsi"/>
          <w:color w:val="000000" w:themeColor="text1"/>
          <w:lang w:eastAsia="fr-FR"/>
        </w:rPr>
        <w:t xml:space="preserve"> de prescription</w:t>
      </w:r>
      <w:r w:rsidR="001F7FC4" w:rsidRPr="001B4C78">
        <w:rPr>
          <w:rFonts w:eastAsia="Times New Roman" w:cstheme="minorHAnsi"/>
          <w:color w:val="000000" w:themeColor="text1"/>
          <w:lang w:eastAsia="fr-FR"/>
        </w:rPr>
        <w:t xml:space="preserve"> de 2 ans à compter de la date de fermeture du droit afférent, ouvert précédemment</w:t>
      </w:r>
      <w:r w:rsidR="001B4C78">
        <w:rPr>
          <w:rFonts w:eastAsia="Times New Roman" w:cstheme="minorHAnsi"/>
          <w:color w:val="000000" w:themeColor="text1"/>
          <w:lang w:eastAsia="fr-FR"/>
        </w:rPr>
        <w:t>).</w:t>
      </w:r>
    </w:p>
    <w:p w14:paraId="5C2B31F4" w14:textId="77777777" w:rsidR="0084545A" w:rsidRPr="00566F58" w:rsidRDefault="0084545A" w:rsidP="001F7FC4">
      <w:pPr>
        <w:widowControl w:val="0"/>
        <w:suppressAutoHyphens/>
        <w:overflowPunct w:val="0"/>
        <w:autoSpaceDE w:val="0"/>
        <w:autoSpaceDN w:val="0"/>
        <w:adjustRightInd w:val="0"/>
        <w:spacing w:after="0" w:line="240" w:lineRule="auto"/>
        <w:ind w:left="720" w:right="33"/>
        <w:jc w:val="both"/>
        <w:textAlignment w:val="baseline"/>
        <w:rPr>
          <w:rFonts w:eastAsia="Times New Roman" w:cstheme="minorHAnsi"/>
          <w:color w:val="000000" w:themeColor="text1"/>
          <w:lang w:eastAsia="fr-FR"/>
        </w:rPr>
      </w:pPr>
    </w:p>
    <w:p w14:paraId="1EFD4198" w14:textId="77777777" w:rsidR="002C1412" w:rsidRPr="007C0480" w:rsidRDefault="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74CA1718" w14:textId="02CE3418" w:rsidR="002C1412" w:rsidRPr="004274B6" w:rsidRDefault="002C1412" w:rsidP="0084545A">
      <w:pPr>
        <w:spacing w:after="0" w:line="240" w:lineRule="auto"/>
        <w:jc w:val="both"/>
        <w:rPr>
          <w:rFonts w:eastAsia="Times New Roman" w:cstheme="minorHAnsi"/>
          <w:color w:val="000000" w:themeColor="text1"/>
          <w:u w:val="single"/>
          <w:lang w:eastAsia="fr-FR"/>
        </w:rPr>
      </w:pPr>
      <w:r w:rsidRPr="004274B6">
        <w:rPr>
          <w:rFonts w:eastAsia="Times New Roman" w:cstheme="minorHAnsi"/>
          <w:color w:val="000000" w:themeColor="text1"/>
          <w:u w:val="single"/>
          <w:lang w:eastAsia="fr-FR"/>
        </w:rPr>
        <w:t>Date d’entrée en vigueur </w:t>
      </w:r>
      <w:r w:rsidRPr="004274B6">
        <w:rPr>
          <w:rFonts w:eastAsia="Times New Roman" w:cstheme="minorHAnsi"/>
          <w:color w:val="000000" w:themeColor="text1"/>
          <w:lang w:eastAsia="fr-FR"/>
        </w:rPr>
        <w:t xml:space="preserve">: </w:t>
      </w:r>
      <w:r>
        <w:rPr>
          <w:rFonts w:eastAsia="Times New Roman" w:cstheme="minorHAnsi"/>
          <w:color w:val="000000" w:themeColor="text1"/>
          <w:lang w:eastAsia="fr-FR"/>
        </w:rPr>
        <w:t>La date d’entrée en vigueur de cette mesure est déterminée par décret (cette mesure entrera en vigueur au plus tôt au 1</w:t>
      </w:r>
      <w:r w:rsidRPr="002C1412">
        <w:rPr>
          <w:rFonts w:eastAsia="Times New Roman" w:cstheme="minorHAnsi"/>
          <w:color w:val="000000" w:themeColor="text1"/>
          <w:vertAlign w:val="superscript"/>
          <w:lang w:eastAsia="fr-FR"/>
        </w:rPr>
        <w:t>er</w:t>
      </w:r>
      <w:r>
        <w:rPr>
          <w:rFonts w:eastAsia="Times New Roman" w:cstheme="minorHAnsi"/>
          <w:color w:val="000000" w:themeColor="text1"/>
          <w:lang w:eastAsia="fr-FR"/>
        </w:rPr>
        <w:t xml:space="preserve"> avril 2022).</w:t>
      </w:r>
    </w:p>
    <w:p w14:paraId="10936552" w14:textId="77777777" w:rsidR="002C1412" w:rsidRDefault="002C1412" w:rsidP="0084545A">
      <w:pPr>
        <w:spacing w:line="240" w:lineRule="auto"/>
        <w:jc w:val="both"/>
        <w:rPr>
          <w:color w:val="000000" w:themeColor="text1"/>
        </w:rPr>
      </w:pPr>
    </w:p>
    <w:p w14:paraId="3218B670" w14:textId="58F2C3D4" w:rsidR="00D56219" w:rsidRDefault="00D56219" w:rsidP="0084545A">
      <w:pPr>
        <w:spacing w:after="0" w:line="240" w:lineRule="auto"/>
        <w:jc w:val="both"/>
        <w:rPr>
          <w:rFonts w:eastAsia="Times New Roman" w:cstheme="minorHAnsi"/>
          <w:color w:val="000000" w:themeColor="text1"/>
          <w:lang w:eastAsia="fr-FR"/>
        </w:rPr>
      </w:pPr>
    </w:p>
    <w:p w14:paraId="744F71BB" w14:textId="26CB0B58" w:rsidR="000706B1" w:rsidRDefault="000706B1" w:rsidP="0084545A">
      <w:pPr>
        <w:spacing w:after="0" w:line="240" w:lineRule="auto"/>
        <w:jc w:val="both"/>
        <w:rPr>
          <w:rFonts w:eastAsia="Times New Roman" w:cstheme="minorHAnsi"/>
          <w:color w:val="000000" w:themeColor="text1"/>
          <w:lang w:eastAsia="fr-FR"/>
        </w:rPr>
      </w:pPr>
    </w:p>
    <w:p w14:paraId="61EC4598" w14:textId="77777777" w:rsidR="000706B1" w:rsidRPr="00264876" w:rsidRDefault="000706B1" w:rsidP="00CD46D9">
      <w:pPr>
        <w:pBdr>
          <w:bottom w:val="single" w:sz="6" w:space="1" w:color="auto"/>
        </w:pBdr>
        <w:spacing w:after="0" w:line="240" w:lineRule="auto"/>
        <w:jc w:val="both"/>
        <w:rPr>
          <w:rFonts w:eastAsia="Times New Roman" w:cstheme="minorHAnsi"/>
          <w:b/>
          <w:color w:val="44546A" w:themeColor="text2"/>
          <w:sz w:val="24"/>
          <w:lang w:eastAsia="fr-FR"/>
        </w:rPr>
      </w:pPr>
      <w:r w:rsidRPr="00264876">
        <w:rPr>
          <w:rFonts w:eastAsia="Times New Roman" w:cstheme="minorHAnsi"/>
          <w:b/>
          <w:color w:val="44546A" w:themeColor="text2"/>
          <w:sz w:val="24"/>
          <w:lang w:eastAsia="fr-FR"/>
        </w:rPr>
        <w:t>SIMPLIFICATION DU FINANCEMENT DE LA COMPLEMENTAIRE SANTE SOLIDAIRE</w:t>
      </w:r>
    </w:p>
    <w:p w14:paraId="4036C816" w14:textId="77777777" w:rsidR="000706B1" w:rsidRPr="0062762F" w:rsidRDefault="000706B1" w:rsidP="00CD46D9">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10A6D51A" w14:textId="77777777" w:rsidR="000706B1" w:rsidRPr="00131189" w:rsidRDefault="000706B1">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131189">
        <w:rPr>
          <w:rFonts w:eastAsia="Times New Roman" w:cstheme="minorHAnsi"/>
          <w:color w:val="000000" w:themeColor="text1"/>
          <w:lang w:eastAsia="fr-FR"/>
        </w:rPr>
        <w:t xml:space="preserve">Le PLFSS pour 2022 prévoit également de simplifier les circuits de financement de la complémentaire santé solidaire en supprimant la facturation aux organismes complémentaires des dépenses de complémentaire santé solidaire effectuées dans le cadre du tiers-payant intégral (TPI), le remboursement par les organismes complémentaires de la part complémentaire avancée par les régimes d’assurance maladie obligatoire et la compensation des organismes complémentaires dans le cadre d’une déduction de TSA. </w:t>
      </w:r>
    </w:p>
    <w:p w14:paraId="6B4A0981" w14:textId="77777777" w:rsidR="000706B1" w:rsidRPr="00131189" w:rsidRDefault="000706B1">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125B8982" w14:textId="77777777" w:rsidR="000706B1" w:rsidRPr="00131189" w:rsidRDefault="000706B1">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131189">
        <w:rPr>
          <w:rFonts w:eastAsia="Times New Roman" w:cstheme="minorHAnsi"/>
          <w:color w:val="000000" w:themeColor="text1"/>
          <w:lang w:eastAsia="fr-FR"/>
        </w:rPr>
        <w:t>Autrement dit, la part d’assurance maladie complémentaire serait directement prise en charge par les régimes d’assurance maladie dans le cadre du TPI qui ferait comptablement l’objet d’un remboursement par le fonds C2S de la CNAM. Ainsi, les régimes n’auraient plus à facturer cette part aux organismes complémentaires concernés et ces dépenses ne seraient plus déduites des montants de TSA à recouvrer.</w:t>
      </w:r>
    </w:p>
    <w:p w14:paraId="5CB70C94" w14:textId="77777777" w:rsidR="000706B1" w:rsidRPr="00131189" w:rsidRDefault="000706B1">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756A6720" w14:textId="77777777" w:rsidR="000706B1" w:rsidRDefault="000706B1">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131189">
        <w:rPr>
          <w:rFonts w:eastAsia="Times New Roman" w:cstheme="minorHAnsi"/>
          <w:color w:val="000000" w:themeColor="text1"/>
          <w:lang w:eastAsia="fr-FR"/>
        </w:rPr>
        <w:t>Cette évolution permet de sécuriser davantage le risque financier (environ 99,5% des actes sont réalisées dans le cadre du TPI) et simplifie la tâche de recouvrement des CPAM. Un décret d’application, fixant notamment la date d’entrée en vigueur de ces dispositions, sera publié dans le courant de l’année 2022.</w:t>
      </w:r>
    </w:p>
    <w:p w14:paraId="765A2BA4" w14:textId="77777777" w:rsidR="002C1412" w:rsidRDefault="002C1412" w:rsidP="0084545A">
      <w:pPr>
        <w:spacing w:after="0" w:line="240" w:lineRule="auto"/>
        <w:jc w:val="both"/>
        <w:rPr>
          <w:rFonts w:eastAsia="Times New Roman" w:cstheme="minorHAnsi"/>
          <w:color w:val="000000" w:themeColor="text1"/>
          <w:u w:val="single"/>
          <w:lang w:eastAsia="fr-FR"/>
        </w:rPr>
      </w:pPr>
    </w:p>
    <w:p w14:paraId="17AF7E8C" w14:textId="5EA68B76" w:rsidR="002C1412" w:rsidRDefault="002C1412" w:rsidP="0084545A">
      <w:pPr>
        <w:spacing w:after="0" w:line="240" w:lineRule="auto"/>
        <w:jc w:val="both"/>
        <w:rPr>
          <w:rFonts w:eastAsia="Times New Roman" w:cstheme="minorHAnsi"/>
          <w:color w:val="000000" w:themeColor="text1"/>
          <w:lang w:eastAsia="fr-FR"/>
        </w:rPr>
      </w:pPr>
      <w:r w:rsidRPr="004274B6">
        <w:rPr>
          <w:rFonts w:eastAsia="Times New Roman" w:cstheme="minorHAnsi"/>
          <w:color w:val="000000" w:themeColor="text1"/>
          <w:u w:val="single"/>
          <w:lang w:eastAsia="fr-FR"/>
        </w:rPr>
        <w:t>Date d’entrée en vigueur </w:t>
      </w:r>
      <w:r w:rsidRPr="004274B6">
        <w:rPr>
          <w:rFonts w:eastAsia="Times New Roman" w:cstheme="minorHAnsi"/>
          <w:color w:val="000000" w:themeColor="text1"/>
          <w:lang w:eastAsia="fr-FR"/>
        </w:rPr>
        <w:t xml:space="preserve">: </w:t>
      </w:r>
      <w:r>
        <w:rPr>
          <w:rFonts w:eastAsia="Times New Roman" w:cstheme="minorHAnsi"/>
          <w:color w:val="000000" w:themeColor="text1"/>
          <w:lang w:eastAsia="fr-FR"/>
        </w:rPr>
        <w:t>La date d’entrée en vigueur de cette mesure est déterminée par décret (cette mesure entrera en vigueur au plus tard au 1</w:t>
      </w:r>
      <w:r w:rsidRPr="002C1412">
        <w:rPr>
          <w:rFonts w:eastAsia="Times New Roman" w:cstheme="minorHAnsi"/>
          <w:color w:val="000000" w:themeColor="text1"/>
          <w:vertAlign w:val="superscript"/>
          <w:lang w:eastAsia="fr-FR"/>
        </w:rPr>
        <w:t>er</w:t>
      </w:r>
      <w:r>
        <w:rPr>
          <w:rFonts w:eastAsia="Times New Roman" w:cstheme="minorHAnsi"/>
          <w:color w:val="000000" w:themeColor="text1"/>
          <w:lang w:eastAsia="fr-FR"/>
        </w:rPr>
        <w:t xml:space="preserve"> janvier 2023).</w:t>
      </w:r>
    </w:p>
    <w:p w14:paraId="364128FA" w14:textId="77777777" w:rsidR="001F7FC4" w:rsidRDefault="001F7FC4" w:rsidP="0084545A">
      <w:pPr>
        <w:spacing w:after="0" w:line="240" w:lineRule="auto"/>
        <w:jc w:val="both"/>
        <w:rPr>
          <w:rFonts w:eastAsia="Times New Roman" w:cstheme="minorHAnsi"/>
          <w:color w:val="000000" w:themeColor="text1"/>
          <w:lang w:eastAsia="fr-FR"/>
        </w:rPr>
      </w:pPr>
    </w:p>
    <w:p w14:paraId="19BCB251" w14:textId="77777777" w:rsidR="00CD46D9" w:rsidRPr="004274B6" w:rsidRDefault="00CD46D9" w:rsidP="0084545A">
      <w:pPr>
        <w:spacing w:after="0" w:line="240" w:lineRule="auto"/>
        <w:jc w:val="both"/>
        <w:rPr>
          <w:rFonts w:eastAsia="Times New Roman" w:cstheme="minorHAnsi"/>
          <w:color w:val="000000" w:themeColor="text1"/>
          <w:u w:val="single"/>
          <w:lang w:eastAsia="fr-FR"/>
        </w:rPr>
      </w:pPr>
    </w:p>
    <w:p w14:paraId="3CEABE28" w14:textId="77777777" w:rsidR="00CD46D9" w:rsidRPr="00264876" w:rsidRDefault="00CD46D9" w:rsidP="00CD46D9">
      <w:pPr>
        <w:pBdr>
          <w:bottom w:val="single" w:sz="6" w:space="1" w:color="auto"/>
        </w:pBdr>
        <w:spacing w:after="0" w:line="240" w:lineRule="auto"/>
        <w:jc w:val="both"/>
        <w:rPr>
          <w:rFonts w:eastAsia="Times New Roman" w:cstheme="minorHAnsi"/>
          <w:b/>
          <w:color w:val="44546A" w:themeColor="text2"/>
          <w:sz w:val="24"/>
          <w:lang w:eastAsia="fr-FR"/>
        </w:rPr>
      </w:pPr>
      <w:r w:rsidRPr="00264876">
        <w:rPr>
          <w:rFonts w:eastAsia="Times New Roman" w:cstheme="minorHAnsi"/>
          <w:b/>
          <w:color w:val="44546A" w:themeColor="text2"/>
          <w:sz w:val="24"/>
          <w:lang w:eastAsia="fr-FR"/>
        </w:rPr>
        <w:t>LA SIMPLIFICATION DES DEMARCHES DES BENEFICIAIRES DE L'ALLOCATION DE SOLIDARITE AUX PERSONNES AGEES (ASPA)</w:t>
      </w:r>
    </w:p>
    <w:p w14:paraId="148DE737" w14:textId="77777777" w:rsidR="00CD46D9" w:rsidRPr="0062762F" w:rsidRDefault="00CD46D9" w:rsidP="00CD46D9">
      <w:pPr>
        <w:pStyle w:val="Paragraphedeliste"/>
        <w:spacing w:after="0" w:line="240" w:lineRule="auto"/>
        <w:jc w:val="both"/>
        <w:rPr>
          <w:rFonts w:eastAsia="Times New Roman" w:cstheme="minorHAnsi"/>
          <w:color w:val="000000" w:themeColor="text1"/>
          <w:lang w:eastAsia="fr-FR"/>
        </w:rPr>
      </w:pPr>
    </w:p>
    <w:p w14:paraId="22EBE4ED" w14:textId="257B551F" w:rsidR="00CD46D9" w:rsidRDefault="00CD46D9" w:rsidP="00CD46D9">
      <w:pPr>
        <w:spacing w:after="0" w:line="240" w:lineRule="auto"/>
        <w:jc w:val="both"/>
        <w:rPr>
          <w:rFonts w:eastAsia="Times New Roman" w:cstheme="minorHAnsi"/>
          <w:b/>
          <w:bCs/>
          <w:color w:val="000000" w:themeColor="text1"/>
          <w:lang w:eastAsia="fr-FR"/>
        </w:rPr>
      </w:pPr>
      <w:r w:rsidRPr="00E82766">
        <w:rPr>
          <w:rFonts w:eastAsia="Times New Roman" w:cstheme="minorHAnsi"/>
          <w:color w:val="000000" w:themeColor="text1"/>
          <w:lang w:eastAsia="fr-FR"/>
        </w:rPr>
        <w:t xml:space="preserve">Désormais les allocataires de l’ASPA bénéficieront d’une </w:t>
      </w:r>
      <w:r w:rsidRPr="00E82766">
        <w:rPr>
          <w:rFonts w:eastAsia="Times New Roman" w:cstheme="minorHAnsi"/>
          <w:b/>
          <w:bCs/>
          <w:color w:val="000000" w:themeColor="text1"/>
          <w:lang w:eastAsia="fr-FR"/>
        </w:rPr>
        <w:t xml:space="preserve">présomption de droits à la complémentaire santé solidaire avec participation financière. </w:t>
      </w:r>
    </w:p>
    <w:p w14:paraId="077D5FA8" w14:textId="77777777" w:rsidR="00CD46D9" w:rsidRPr="00E82766" w:rsidRDefault="00CD46D9" w:rsidP="00CD46D9">
      <w:pPr>
        <w:spacing w:after="0" w:line="240" w:lineRule="auto"/>
        <w:jc w:val="both"/>
        <w:rPr>
          <w:rFonts w:eastAsia="Times New Roman" w:cstheme="minorHAnsi"/>
          <w:color w:val="000000" w:themeColor="text1"/>
          <w:lang w:eastAsia="fr-FR"/>
        </w:rPr>
      </w:pPr>
    </w:p>
    <w:p w14:paraId="4EBA1790" w14:textId="3A84AA68" w:rsidR="00CD46D9" w:rsidRDefault="00CD46D9" w:rsidP="00CD46D9">
      <w:pPr>
        <w:spacing w:after="0" w:line="240" w:lineRule="auto"/>
        <w:jc w:val="both"/>
        <w:rPr>
          <w:rFonts w:eastAsia="Times New Roman" w:cstheme="minorHAnsi"/>
          <w:color w:val="000000" w:themeColor="text1"/>
          <w:lang w:eastAsia="fr-FR"/>
        </w:rPr>
      </w:pPr>
      <w:r w:rsidRPr="00E82766">
        <w:rPr>
          <w:rFonts w:eastAsia="Times New Roman" w:cstheme="minorHAnsi"/>
          <w:color w:val="000000" w:themeColor="text1"/>
          <w:lang w:eastAsia="fr-FR"/>
        </w:rPr>
        <w:t>Une fois l’ASPA attribuée, les caisses d’assurance-maladie transmettront aux nouveaux bénéficiaires de l’ASPA l’ensemble des documents permettant de souscrire à un tel contrat de complémentaire, sans qu’ils aient à remplir une demande complète de complémentaire santé solidaire.</w:t>
      </w:r>
    </w:p>
    <w:p w14:paraId="66F7B7F1" w14:textId="77777777" w:rsidR="00CD46D9" w:rsidRPr="00E82766" w:rsidRDefault="00CD46D9" w:rsidP="00CD46D9">
      <w:pPr>
        <w:spacing w:after="0" w:line="240" w:lineRule="auto"/>
        <w:jc w:val="both"/>
        <w:rPr>
          <w:rFonts w:eastAsia="Times New Roman" w:cstheme="minorHAnsi"/>
          <w:color w:val="000000" w:themeColor="text1"/>
          <w:lang w:eastAsia="fr-FR"/>
        </w:rPr>
      </w:pPr>
    </w:p>
    <w:p w14:paraId="67371968" w14:textId="519F5AE6" w:rsidR="00EC443B" w:rsidRPr="00EC443B" w:rsidRDefault="00CD46D9" w:rsidP="00EC443B">
      <w:pPr>
        <w:spacing w:after="0" w:line="240" w:lineRule="auto"/>
        <w:jc w:val="both"/>
        <w:rPr>
          <w:rFonts w:eastAsia="Times New Roman" w:cstheme="minorHAnsi"/>
          <w:color w:val="000000" w:themeColor="text1"/>
          <w:lang w:eastAsia="fr-FR"/>
        </w:rPr>
      </w:pPr>
      <w:r w:rsidRPr="00E82766">
        <w:rPr>
          <w:rFonts w:eastAsia="Times New Roman" w:cstheme="minorHAnsi"/>
          <w:color w:val="000000" w:themeColor="text1"/>
          <w:lang w:eastAsia="fr-FR"/>
        </w:rPr>
        <w:t xml:space="preserve">Les caisses d’assurance-maladie réaliseront des contrôles afin de vérifier que le bénéficiaire de l’ASPA n’exerce pas d’activité professionnelle, qu’elle soit indépendante ou salariée, ce qui l’amènerait potentiellement à être au-dessus du plafond de ressources C2S. </w:t>
      </w:r>
      <w:r w:rsidR="00EC443B">
        <w:rPr>
          <w:rFonts w:eastAsia="Times New Roman" w:cstheme="minorHAnsi"/>
          <w:color w:val="000000" w:themeColor="text1"/>
          <w:lang w:eastAsia="fr-FR"/>
        </w:rPr>
        <w:t xml:space="preserve">Dans le cas où le bénéficiaire de l’ASPA </w:t>
      </w:r>
      <w:r w:rsidR="00CB4D6A">
        <w:rPr>
          <w:rFonts w:eastAsia="Times New Roman" w:cstheme="minorHAnsi"/>
          <w:color w:val="000000" w:themeColor="text1"/>
          <w:lang w:eastAsia="fr-FR"/>
        </w:rPr>
        <w:t>possédait</w:t>
      </w:r>
      <w:r w:rsidR="00EC443B">
        <w:rPr>
          <w:rFonts w:eastAsia="Times New Roman" w:cstheme="minorHAnsi"/>
          <w:color w:val="000000" w:themeColor="text1"/>
          <w:lang w:eastAsia="fr-FR"/>
        </w:rPr>
        <w:t xml:space="preserve"> </w:t>
      </w:r>
      <w:r w:rsidR="00CB4D6A">
        <w:rPr>
          <w:rFonts w:eastAsia="Times New Roman" w:cstheme="minorHAnsi"/>
          <w:color w:val="000000" w:themeColor="text1"/>
          <w:lang w:eastAsia="fr-FR"/>
        </w:rPr>
        <w:t xml:space="preserve">un contrat de complémentaire classique auprès d’un organisme complémentaire </w:t>
      </w:r>
      <w:r w:rsidR="00CB4D6A">
        <w:rPr>
          <w:rFonts w:eastAsia="Times New Roman" w:cstheme="minorHAnsi"/>
          <w:color w:val="000000" w:themeColor="text1"/>
          <w:lang w:eastAsia="fr-FR"/>
        </w:rPr>
        <w:lastRenderedPageBreak/>
        <w:t>gestionnaire de la C2S : celui-ci sera nécessairement gestionnaire du contrat de complémentaire santé solidaire.</w:t>
      </w:r>
      <w:r w:rsidR="00EC443B" w:rsidRPr="00EC443B">
        <w:rPr>
          <w:rFonts w:eastAsia="Times New Roman" w:cstheme="minorHAnsi"/>
          <w:color w:val="000000" w:themeColor="text1"/>
          <w:lang w:eastAsia="fr-FR"/>
        </w:rPr>
        <w:t xml:space="preserve"> </w:t>
      </w:r>
    </w:p>
    <w:p w14:paraId="5426C362" w14:textId="47D6A8E3" w:rsidR="00CD46D9" w:rsidRDefault="00EC443B" w:rsidP="00EC443B">
      <w:pPr>
        <w:spacing w:after="0" w:line="240" w:lineRule="auto"/>
        <w:jc w:val="both"/>
        <w:rPr>
          <w:rFonts w:eastAsia="Times New Roman" w:cstheme="minorHAnsi"/>
          <w:color w:val="000000" w:themeColor="text1"/>
          <w:lang w:eastAsia="fr-FR"/>
        </w:rPr>
      </w:pPr>
      <w:r w:rsidRPr="00EC443B">
        <w:rPr>
          <w:rFonts w:eastAsia="Times New Roman" w:cstheme="minorHAnsi"/>
          <w:color w:val="000000" w:themeColor="text1"/>
          <w:lang w:eastAsia="fr-FR"/>
        </w:rPr>
        <w:t>A défaut de retour pas d’attribution.</w:t>
      </w:r>
    </w:p>
    <w:p w14:paraId="07D80D96" w14:textId="77777777" w:rsidR="00CD46D9" w:rsidRPr="00E82766" w:rsidRDefault="00CD46D9" w:rsidP="00CD46D9">
      <w:pPr>
        <w:spacing w:after="0" w:line="240" w:lineRule="auto"/>
        <w:jc w:val="both"/>
        <w:rPr>
          <w:rFonts w:eastAsia="Times New Roman" w:cstheme="minorHAnsi"/>
          <w:color w:val="000000" w:themeColor="text1"/>
          <w:lang w:eastAsia="fr-FR"/>
        </w:rPr>
      </w:pPr>
    </w:p>
    <w:p w14:paraId="6E2258CC" w14:textId="77777777" w:rsidR="00CD46D9" w:rsidRPr="00E82766" w:rsidRDefault="00CD46D9" w:rsidP="00CD46D9">
      <w:pPr>
        <w:spacing w:after="0" w:line="240" w:lineRule="auto"/>
        <w:jc w:val="both"/>
        <w:rPr>
          <w:rFonts w:eastAsia="Times New Roman" w:cstheme="minorHAnsi"/>
          <w:color w:val="000000" w:themeColor="text1"/>
          <w:lang w:eastAsia="fr-FR"/>
        </w:rPr>
      </w:pPr>
      <w:r w:rsidRPr="00E82766">
        <w:rPr>
          <w:rFonts w:eastAsia="Times New Roman" w:cstheme="minorHAnsi"/>
          <w:color w:val="000000" w:themeColor="text1"/>
          <w:lang w:eastAsia="fr-FR"/>
        </w:rPr>
        <w:t xml:space="preserve">A moyen terme, lorsque la demande d’ASPA pourra être réalisée par le biais d’un </w:t>
      </w:r>
      <w:proofErr w:type="spellStart"/>
      <w:r w:rsidRPr="00E82766">
        <w:rPr>
          <w:rFonts w:eastAsia="Times New Roman" w:cstheme="minorHAnsi"/>
          <w:color w:val="000000" w:themeColor="text1"/>
          <w:lang w:eastAsia="fr-FR"/>
        </w:rPr>
        <w:t>téléservice</w:t>
      </w:r>
      <w:proofErr w:type="spellEnd"/>
      <w:r w:rsidRPr="00E82766">
        <w:rPr>
          <w:rFonts w:eastAsia="Times New Roman" w:cstheme="minorHAnsi"/>
          <w:color w:val="000000" w:themeColor="text1"/>
          <w:lang w:eastAsia="fr-FR"/>
        </w:rPr>
        <w:t xml:space="preserve">, la demande de C2S pourra être intégrée directement au </w:t>
      </w:r>
      <w:proofErr w:type="spellStart"/>
      <w:r w:rsidRPr="00E82766">
        <w:rPr>
          <w:rFonts w:eastAsia="Times New Roman" w:cstheme="minorHAnsi"/>
          <w:color w:val="000000" w:themeColor="text1"/>
          <w:lang w:eastAsia="fr-FR"/>
        </w:rPr>
        <w:t>téléservice</w:t>
      </w:r>
      <w:proofErr w:type="spellEnd"/>
      <w:r w:rsidRPr="00E82766">
        <w:rPr>
          <w:rFonts w:eastAsia="Times New Roman" w:cstheme="minorHAnsi"/>
          <w:color w:val="000000" w:themeColor="text1"/>
          <w:lang w:eastAsia="fr-FR"/>
        </w:rPr>
        <w:t xml:space="preserve">. </w:t>
      </w:r>
    </w:p>
    <w:p w14:paraId="36B56DEA" w14:textId="77777777" w:rsidR="00CD46D9" w:rsidRDefault="00CD46D9" w:rsidP="00CD46D9">
      <w:pPr>
        <w:spacing w:after="0" w:line="240" w:lineRule="auto"/>
        <w:jc w:val="both"/>
        <w:rPr>
          <w:rFonts w:eastAsia="Times New Roman" w:cstheme="minorHAnsi"/>
          <w:color w:val="000000" w:themeColor="text1"/>
          <w:lang w:eastAsia="fr-FR"/>
        </w:rPr>
      </w:pPr>
    </w:p>
    <w:p w14:paraId="694681BF" w14:textId="77777777" w:rsidR="00CD46D9" w:rsidRPr="0062762F" w:rsidRDefault="00CD46D9" w:rsidP="00CD46D9">
      <w:pPr>
        <w:spacing w:after="0" w:line="240" w:lineRule="auto"/>
        <w:jc w:val="both"/>
        <w:rPr>
          <w:rFonts w:eastAsia="Times New Roman" w:cstheme="minorHAnsi"/>
          <w:color w:val="000000" w:themeColor="text1"/>
          <w:lang w:eastAsia="fr-FR"/>
        </w:rPr>
      </w:pPr>
      <w:r w:rsidRPr="004274B6">
        <w:rPr>
          <w:rFonts w:eastAsia="Times New Roman" w:cstheme="minorHAnsi"/>
          <w:color w:val="000000" w:themeColor="text1"/>
          <w:u w:val="single"/>
          <w:lang w:eastAsia="fr-FR"/>
        </w:rPr>
        <w:t>Date d’entrée en vigueur</w:t>
      </w:r>
      <w:r>
        <w:rPr>
          <w:rFonts w:eastAsia="Times New Roman" w:cstheme="minorHAnsi"/>
          <w:color w:val="000000" w:themeColor="text1"/>
          <w:lang w:eastAsia="fr-FR"/>
        </w:rPr>
        <w:t> : 1</w:t>
      </w:r>
      <w:r w:rsidRPr="00E82766">
        <w:rPr>
          <w:rFonts w:eastAsia="Times New Roman" w:cstheme="minorHAnsi"/>
          <w:color w:val="000000" w:themeColor="text1"/>
          <w:vertAlign w:val="superscript"/>
          <w:lang w:eastAsia="fr-FR"/>
        </w:rPr>
        <w:t>er</w:t>
      </w:r>
      <w:r>
        <w:rPr>
          <w:rFonts w:eastAsia="Times New Roman" w:cstheme="minorHAnsi"/>
          <w:color w:val="000000" w:themeColor="text1"/>
          <w:lang w:eastAsia="fr-FR"/>
        </w:rPr>
        <w:t xml:space="preserve"> avril 2022.</w:t>
      </w:r>
    </w:p>
    <w:p w14:paraId="791BBD87" w14:textId="1AF52508" w:rsidR="00D56219" w:rsidRDefault="00D56219" w:rsidP="0084545A">
      <w:pPr>
        <w:spacing w:line="240" w:lineRule="auto"/>
        <w:jc w:val="both"/>
        <w:rPr>
          <w:color w:val="000000" w:themeColor="text1"/>
        </w:rPr>
      </w:pPr>
    </w:p>
    <w:p w14:paraId="3842D1E3" w14:textId="77777777" w:rsidR="004274B6" w:rsidRPr="00264876" w:rsidRDefault="004274B6" w:rsidP="00CD46D9">
      <w:pPr>
        <w:pBdr>
          <w:bottom w:val="single" w:sz="6" w:space="1" w:color="auto"/>
        </w:pBdr>
        <w:spacing w:after="0" w:line="240" w:lineRule="auto"/>
        <w:jc w:val="both"/>
        <w:rPr>
          <w:rFonts w:eastAsia="Times New Roman" w:cstheme="minorHAnsi"/>
          <w:b/>
          <w:color w:val="44546A" w:themeColor="text2"/>
          <w:sz w:val="24"/>
          <w:lang w:eastAsia="fr-FR"/>
        </w:rPr>
      </w:pPr>
      <w:r w:rsidRPr="00264876">
        <w:rPr>
          <w:rFonts w:eastAsia="Times New Roman" w:cstheme="minorHAnsi"/>
          <w:b/>
          <w:color w:val="44546A" w:themeColor="text2"/>
          <w:sz w:val="24"/>
          <w:lang w:eastAsia="fr-FR"/>
        </w:rPr>
        <w:t>L’ATTRIBUTION AUTOMATIQUE DE LA COMPLEMENTAIRE SANTE SOLIDAIRE SANS</w:t>
      </w:r>
      <w:r w:rsidRPr="004274B6">
        <w:rPr>
          <w:rFonts w:eastAsia="Times New Roman" w:cstheme="minorHAnsi"/>
          <w:b/>
          <w:color w:val="4472C4" w:themeColor="accent5"/>
          <w:sz w:val="24"/>
          <w:lang w:eastAsia="fr-FR"/>
        </w:rPr>
        <w:t xml:space="preserve"> </w:t>
      </w:r>
      <w:r w:rsidRPr="00264876">
        <w:rPr>
          <w:rFonts w:eastAsia="Times New Roman" w:cstheme="minorHAnsi"/>
          <w:b/>
          <w:color w:val="44546A" w:themeColor="text2"/>
          <w:sz w:val="24"/>
          <w:lang w:eastAsia="fr-FR"/>
        </w:rPr>
        <w:t>PARTICIPATION FINANCIERE AUX NOUVEAUX BENEFICIAIRES DU REVENU DE SOLIDARITE ACTIVE (RSA) </w:t>
      </w:r>
    </w:p>
    <w:p w14:paraId="767AD664" w14:textId="77777777" w:rsidR="004274B6" w:rsidRPr="0062762F" w:rsidRDefault="004274B6" w:rsidP="00CD46D9">
      <w:pPr>
        <w:spacing w:after="0" w:line="240" w:lineRule="auto"/>
        <w:jc w:val="both"/>
        <w:rPr>
          <w:rFonts w:eastAsia="Times New Roman" w:cstheme="minorHAnsi"/>
          <w:color w:val="000000" w:themeColor="text1"/>
          <w:sz w:val="24"/>
          <w:lang w:eastAsia="fr-FR"/>
        </w:rPr>
      </w:pPr>
    </w:p>
    <w:p w14:paraId="617FADDE" w14:textId="77777777" w:rsidR="004274B6" w:rsidRDefault="004274B6" w:rsidP="0084545A">
      <w:pPr>
        <w:spacing w:after="0" w:line="240" w:lineRule="auto"/>
        <w:jc w:val="both"/>
        <w:rPr>
          <w:rFonts w:eastAsia="Times New Roman" w:cstheme="minorHAnsi"/>
          <w:color w:val="000000" w:themeColor="text1"/>
          <w:lang w:eastAsia="fr-FR"/>
        </w:rPr>
      </w:pPr>
      <w:r w:rsidRPr="0062762F">
        <w:rPr>
          <w:rFonts w:eastAsia="Times New Roman" w:cstheme="minorHAnsi"/>
          <w:color w:val="000000" w:themeColor="text1"/>
          <w:lang w:eastAsia="fr-FR"/>
        </w:rPr>
        <w:t>Aucune démarche de leur part ne leur sera demandée autre que la demande de RSA, par voie papier ou en ligne. Ils pourront toutefois s’opposer de manière expresse au bénéfice de ce droit lors de leur demande de RSA.  Le but est de rendre ce droit à la</w:t>
      </w:r>
      <w:r w:rsidRPr="0062762F">
        <w:rPr>
          <w:color w:val="000000" w:themeColor="text1"/>
        </w:rPr>
        <w:t xml:space="preserve"> </w:t>
      </w:r>
      <w:r w:rsidRPr="0062762F">
        <w:rPr>
          <w:rFonts w:eastAsia="Times New Roman" w:cstheme="minorHAnsi"/>
          <w:color w:val="000000" w:themeColor="text1"/>
          <w:lang w:eastAsia="fr-FR"/>
        </w:rPr>
        <w:t xml:space="preserve">complémentaire santé solidaire le plus effectif possible. Les assurés seront toujours libres de choisir comme gestionnaire leur caisse d’assurance maladie ou un organisme complémentaire gestionnaire du dispositif.  </w:t>
      </w:r>
    </w:p>
    <w:p w14:paraId="7A3DFB15" w14:textId="77777777" w:rsidR="004274B6" w:rsidRDefault="004274B6" w:rsidP="0084545A">
      <w:pPr>
        <w:spacing w:after="0" w:line="240" w:lineRule="auto"/>
        <w:jc w:val="both"/>
        <w:rPr>
          <w:rFonts w:eastAsia="Times New Roman" w:cstheme="minorHAnsi"/>
          <w:color w:val="000000" w:themeColor="text1"/>
          <w:lang w:eastAsia="fr-FR"/>
        </w:rPr>
      </w:pPr>
    </w:p>
    <w:p w14:paraId="36D641E0" w14:textId="77777777" w:rsidR="004274B6" w:rsidRPr="0062762F" w:rsidRDefault="004274B6" w:rsidP="0084545A">
      <w:pPr>
        <w:spacing w:after="0" w:line="240" w:lineRule="auto"/>
        <w:jc w:val="both"/>
        <w:rPr>
          <w:rFonts w:eastAsia="Times New Roman" w:cstheme="minorHAnsi"/>
          <w:color w:val="000000" w:themeColor="text1"/>
          <w:lang w:eastAsia="fr-FR"/>
        </w:rPr>
      </w:pPr>
      <w:r w:rsidRPr="004274B6">
        <w:rPr>
          <w:rFonts w:eastAsia="Times New Roman" w:cstheme="minorHAnsi"/>
          <w:color w:val="000000" w:themeColor="text1"/>
          <w:u w:val="single"/>
          <w:lang w:eastAsia="fr-FR"/>
        </w:rPr>
        <w:t>Date d’entrée en vigueur</w:t>
      </w:r>
      <w:r>
        <w:rPr>
          <w:rFonts w:eastAsia="Times New Roman" w:cstheme="minorHAnsi"/>
          <w:color w:val="000000" w:themeColor="text1"/>
          <w:lang w:eastAsia="fr-FR"/>
        </w:rPr>
        <w:t> : 1</w:t>
      </w:r>
      <w:r w:rsidRPr="00E82766">
        <w:rPr>
          <w:rFonts w:eastAsia="Times New Roman" w:cstheme="minorHAnsi"/>
          <w:color w:val="000000" w:themeColor="text1"/>
          <w:vertAlign w:val="superscript"/>
          <w:lang w:eastAsia="fr-FR"/>
        </w:rPr>
        <w:t>er</w:t>
      </w:r>
      <w:r>
        <w:rPr>
          <w:rFonts w:eastAsia="Times New Roman" w:cstheme="minorHAnsi"/>
          <w:color w:val="000000" w:themeColor="text1"/>
          <w:lang w:eastAsia="fr-FR"/>
        </w:rPr>
        <w:t xml:space="preserve"> janvier 2022.</w:t>
      </w:r>
    </w:p>
    <w:p w14:paraId="54AA01EB" w14:textId="77777777" w:rsidR="004274B6" w:rsidRPr="0062762F" w:rsidRDefault="004274B6" w:rsidP="0084545A">
      <w:pPr>
        <w:spacing w:after="0" w:line="240" w:lineRule="auto"/>
        <w:jc w:val="both"/>
        <w:rPr>
          <w:rFonts w:eastAsia="Times New Roman" w:cstheme="minorHAnsi"/>
          <w:color w:val="000000" w:themeColor="text1"/>
          <w:lang w:eastAsia="fr-FR"/>
        </w:rPr>
      </w:pPr>
    </w:p>
    <w:p w14:paraId="19188285" w14:textId="77777777" w:rsidR="004274B6" w:rsidRPr="004274B6" w:rsidRDefault="004274B6" w:rsidP="0084545A">
      <w:pPr>
        <w:spacing w:after="0" w:line="240" w:lineRule="auto"/>
        <w:jc w:val="both"/>
        <w:rPr>
          <w:rFonts w:eastAsia="Times New Roman" w:cstheme="minorHAnsi"/>
          <w:b/>
          <w:color w:val="C00000"/>
          <w:lang w:eastAsia="fr-FR"/>
        </w:rPr>
      </w:pPr>
      <w:r w:rsidRPr="004274B6">
        <w:rPr>
          <w:rFonts w:eastAsia="Times New Roman" w:cstheme="minorHAnsi"/>
          <w:b/>
          <w:color w:val="C00000"/>
          <w:lang w:eastAsia="fr-FR"/>
        </w:rPr>
        <w:t>Sans impact pour les organismes complémentaires.</w:t>
      </w:r>
    </w:p>
    <w:p w14:paraId="5C53DC3E" w14:textId="77777777" w:rsidR="004274B6" w:rsidRPr="0062762F" w:rsidRDefault="004274B6" w:rsidP="00CD46D9">
      <w:pPr>
        <w:spacing w:after="0" w:line="240" w:lineRule="auto"/>
        <w:jc w:val="both"/>
        <w:rPr>
          <w:rFonts w:eastAsia="Times New Roman" w:cstheme="minorHAnsi"/>
          <w:color w:val="000000" w:themeColor="text1"/>
          <w:lang w:eastAsia="fr-FR"/>
        </w:rPr>
      </w:pPr>
    </w:p>
    <w:p w14:paraId="18350BA5" w14:textId="77777777" w:rsidR="004274B6" w:rsidRPr="0062762F" w:rsidRDefault="004274B6" w:rsidP="0084545A">
      <w:pPr>
        <w:spacing w:after="0" w:line="240" w:lineRule="auto"/>
        <w:jc w:val="both"/>
        <w:rPr>
          <w:rFonts w:eastAsia="Times New Roman" w:cstheme="minorHAnsi"/>
          <w:color w:val="000000" w:themeColor="text1"/>
          <w:lang w:eastAsia="fr-FR"/>
        </w:rPr>
      </w:pPr>
    </w:p>
    <w:p w14:paraId="460C799B" w14:textId="77777777" w:rsidR="004274B6" w:rsidRPr="00264876" w:rsidRDefault="004274B6" w:rsidP="00CD46D9">
      <w:pPr>
        <w:pBdr>
          <w:bottom w:val="single" w:sz="6" w:space="1" w:color="auto"/>
        </w:pBdr>
        <w:spacing w:after="0" w:line="240" w:lineRule="auto"/>
        <w:jc w:val="both"/>
        <w:rPr>
          <w:rFonts w:eastAsia="Times New Roman" w:cstheme="minorHAnsi"/>
          <w:b/>
          <w:color w:val="44546A" w:themeColor="text2"/>
          <w:sz w:val="24"/>
          <w:lang w:eastAsia="fr-FR"/>
        </w:rPr>
      </w:pPr>
      <w:r w:rsidRPr="00264876">
        <w:rPr>
          <w:rFonts w:eastAsia="Times New Roman" w:cstheme="minorHAnsi"/>
          <w:b/>
          <w:color w:val="44546A" w:themeColor="text2"/>
          <w:sz w:val="24"/>
          <w:lang w:eastAsia="fr-FR"/>
        </w:rPr>
        <w:t>REMISE DES INDUS POUR PRECARITE DES ASSURES DU REGIME AGRICOLE</w:t>
      </w:r>
    </w:p>
    <w:p w14:paraId="67A1FFC8" w14:textId="77777777" w:rsidR="00264876" w:rsidRDefault="00264876" w:rsidP="0084545A">
      <w:pPr>
        <w:spacing w:line="240" w:lineRule="auto"/>
        <w:jc w:val="both"/>
        <w:rPr>
          <w:color w:val="000000" w:themeColor="text1"/>
        </w:rPr>
      </w:pPr>
    </w:p>
    <w:p w14:paraId="4CDE78A4" w14:textId="77777777" w:rsidR="004274B6" w:rsidRDefault="004274B6" w:rsidP="0084545A">
      <w:pPr>
        <w:spacing w:line="240" w:lineRule="auto"/>
        <w:jc w:val="both"/>
        <w:rPr>
          <w:color w:val="000000" w:themeColor="text1"/>
        </w:rPr>
      </w:pPr>
      <w:r w:rsidRPr="004274B6">
        <w:rPr>
          <w:color w:val="000000" w:themeColor="text1"/>
        </w:rPr>
        <w:t>Il est proposé d’inclure dans le code rural de la pêche maritime une disposition miroir à l’article L.256 du code de la sécurité sociale qui permet aux caisses du régime général de procéder à des remises de dettes sur les indus de leurs bénéficiaires pour cause de précarité. Les caisses de mutualité sociale agricole pourront ainsi procéder à de telles remises de dettes.</w:t>
      </w:r>
    </w:p>
    <w:p w14:paraId="0DC71561" w14:textId="77777777" w:rsidR="007C0480" w:rsidRPr="0062762F" w:rsidRDefault="007C0480" w:rsidP="0084545A">
      <w:pPr>
        <w:spacing w:after="0" w:line="240" w:lineRule="auto"/>
        <w:jc w:val="both"/>
        <w:rPr>
          <w:rFonts w:eastAsia="Times New Roman" w:cstheme="minorHAnsi"/>
          <w:color w:val="000000" w:themeColor="text1"/>
          <w:lang w:eastAsia="fr-FR"/>
        </w:rPr>
      </w:pPr>
      <w:r w:rsidRPr="004274B6">
        <w:rPr>
          <w:rFonts w:eastAsia="Times New Roman" w:cstheme="minorHAnsi"/>
          <w:color w:val="000000" w:themeColor="text1"/>
          <w:u w:val="single"/>
          <w:lang w:eastAsia="fr-FR"/>
        </w:rPr>
        <w:t>Date d’entrée en vigueur</w:t>
      </w:r>
      <w:r>
        <w:rPr>
          <w:rFonts w:eastAsia="Times New Roman" w:cstheme="minorHAnsi"/>
          <w:color w:val="000000" w:themeColor="text1"/>
          <w:lang w:eastAsia="fr-FR"/>
        </w:rPr>
        <w:t> : 1</w:t>
      </w:r>
      <w:r w:rsidRPr="00E82766">
        <w:rPr>
          <w:rFonts w:eastAsia="Times New Roman" w:cstheme="minorHAnsi"/>
          <w:color w:val="000000" w:themeColor="text1"/>
          <w:vertAlign w:val="superscript"/>
          <w:lang w:eastAsia="fr-FR"/>
        </w:rPr>
        <w:t>er</w:t>
      </w:r>
      <w:r>
        <w:rPr>
          <w:rFonts w:eastAsia="Times New Roman" w:cstheme="minorHAnsi"/>
          <w:color w:val="000000" w:themeColor="text1"/>
          <w:lang w:eastAsia="fr-FR"/>
        </w:rPr>
        <w:t xml:space="preserve"> janvier 2022.</w:t>
      </w:r>
    </w:p>
    <w:p w14:paraId="298BF000" w14:textId="77777777" w:rsidR="007C0480" w:rsidRPr="004274B6" w:rsidRDefault="007C0480" w:rsidP="0084545A">
      <w:pPr>
        <w:spacing w:line="240" w:lineRule="auto"/>
        <w:jc w:val="both"/>
        <w:rPr>
          <w:color w:val="000000" w:themeColor="text1"/>
        </w:rPr>
      </w:pPr>
    </w:p>
    <w:p w14:paraId="7882E798" w14:textId="77777777" w:rsidR="004274B6" w:rsidRPr="004274B6" w:rsidRDefault="004274B6" w:rsidP="0084545A">
      <w:pPr>
        <w:spacing w:after="0" w:line="240" w:lineRule="auto"/>
        <w:jc w:val="both"/>
        <w:rPr>
          <w:rFonts w:eastAsia="Times New Roman" w:cstheme="minorHAnsi"/>
          <w:b/>
          <w:color w:val="C00000"/>
          <w:lang w:eastAsia="fr-FR"/>
        </w:rPr>
      </w:pPr>
      <w:r w:rsidRPr="004274B6">
        <w:rPr>
          <w:rFonts w:eastAsia="Times New Roman" w:cstheme="minorHAnsi"/>
          <w:b/>
          <w:color w:val="C00000"/>
          <w:lang w:eastAsia="fr-FR"/>
        </w:rPr>
        <w:t>Sans impact pour les organismes complémentaires.</w:t>
      </w:r>
    </w:p>
    <w:p w14:paraId="50FBA9E1" w14:textId="77777777" w:rsidR="004274B6" w:rsidRDefault="004274B6" w:rsidP="0084545A">
      <w:pPr>
        <w:spacing w:line="240" w:lineRule="auto"/>
        <w:jc w:val="both"/>
        <w:rPr>
          <w:color w:val="000000" w:themeColor="text1"/>
        </w:rPr>
      </w:pPr>
    </w:p>
    <w:p w14:paraId="61B0F9B9" w14:textId="77777777" w:rsidR="00D56219" w:rsidRDefault="00D56219" w:rsidP="0084545A">
      <w:pPr>
        <w:spacing w:line="240" w:lineRule="auto"/>
        <w:rPr>
          <w:color w:val="000000" w:themeColor="text1"/>
        </w:rPr>
      </w:pPr>
      <w:r>
        <w:rPr>
          <w:color w:val="000000" w:themeColor="text1"/>
        </w:rPr>
        <w:br w:type="page"/>
      </w:r>
    </w:p>
    <w:tbl>
      <w:tblPr>
        <w:tblStyle w:val="Grilledutableau"/>
        <w:tblW w:w="24100" w:type="dxa"/>
        <w:tblInd w:w="-1423" w:type="dxa"/>
        <w:tblLook w:val="04A0" w:firstRow="1" w:lastRow="0" w:firstColumn="1" w:lastColumn="0" w:noHBand="0" w:noVBand="1"/>
      </w:tblPr>
      <w:tblGrid>
        <w:gridCol w:w="12050"/>
        <w:gridCol w:w="12050"/>
      </w:tblGrid>
      <w:tr w:rsidR="00D56219" w14:paraId="35C6D502" w14:textId="77777777" w:rsidTr="00787EF3">
        <w:trPr>
          <w:trHeight w:val="836"/>
        </w:trPr>
        <w:tc>
          <w:tcPr>
            <w:tcW w:w="12050" w:type="dxa"/>
            <w:tcBorders>
              <w:top w:val="nil"/>
              <w:left w:val="nil"/>
              <w:bottom w:val="nil"/>
              <w:right w:val="nil"/>
            </w:tcBorders>
            <w:shd w:val="clear" w:color="auto" w:fill="D5DCE4" w:themeFill="text2" w:themeFillTint="33"/>
            <w:vAlign w:val="center"/>
          </w:tcPr>
          <w:p w14:paraId="7F57FBE4" w14:textId="77777777" w:rsidR="00D56219" w:rsidRDefault="00D56219" w:rsidP="00D56219">
            <w:pPr>
              <w:jc w:val="center"/>
              <w:rPr>
                <w:rFonts w:eastAsia="Times New Roman" w:cstheme="minorHAnsi"/>
                <w:b/>
                <w:color w:val="000000" w:themeColor="text1"/>
                <w:sz w:val="28"/>
                <w:lang w:eastAsia="fr-FR"/>
              </w:rPr>
            </w:pPr>
            <w:r>
              <w:rPr>
                <w:rFonts w:eastAsia="Times New Roman" w:cstheme="minorHAnsi"/>
                <w:b/>
                <w:color w:val="000000" w:themeColor="text1"/>
                <w:sz w:val="28"/>
                <w:lang w:eastAsia="fr-FR"/>
              </w:rPr>
              <w:lastRenderedPageBreak/>
              <w:t>FOIRE AUX QUESTIONS</w:t>
            </w:r>
          </w:p>
          <w:p w14:paraId="5D691801" w14:textId="1305E2E2" w:rsidR="00794C4B" w:rsidRPr="00794C4B" w:rsidRDefault="00794C4B" w:rsidP="00D56219">
            <w:pPr>
              <w:jc w:val="center"/>
              <w:rPr>
                <w:rFonts w:eastAsia="Times New Roman" w:cstheme="minorHAnsi"/>
                <w:i/>
                <w:color w:val="000000" w:themeColor="text1"/>
                <w:sz w:val="28"/>
                <w:lang w:eastAsia="fr-FR"/>
              </w:rPr>
            </w:pPr>
            <w:r w:rsidRPr="00794C4B">
              <w:rPr>
                <w:rFonts w:eastAsia="Times New Roman" w:cstheme="minorHAnsi"/>
                <w:i/>
                <w:color w:val="000000" w:themeColor="text1"/>
                <w:sz w:val="24"/>
                <w:lang w:eastAsia="fr-FR"/>
              </w:rPr>
              <w:t xml:space="preserve">En cas de questions, vous pouvez les adresser à : </w:t>
            </w:r>
            <w:hyperlink r:id="rId6" w:history="1">
              <w:r w:rsidRPr="00794C4B">
                <w:rPr>
                  <w:rStyle w:val="Lienhypertexte"/>
                  <w:rFonts w:eastAsia="Times New Roman" w:cstheme="minorHAnsi"/>
                  <w:i/>
                  <w:sz w:val="24"/>
                  <w:lang w:eastAsia="fr-FR"/>
                </w:rPr>
                <w:t>DSS-infoCSS@sante.gouv.fr</w:t>
              </w:r>
            </w:hyperlink>
            <w:r w:rsidRPr="00794C4B">
              <w:rPr>
                <w:rFonts w:eastAsia="Times New Roman" w:cstheme="minorHAnsi"/>
                <w:i/>
                <w:color w:val="000000" w:themeColor="text1"/>
                <w:sz w:val="28"/>
                <w:lang w:eastAsia="fr-FR"/>
              </w:rPr>
              <w:t xml:space="preserve"> </w:t>
            </w:r>
          </w:p>
        </w:tc>
        <w:tc>
          <w:tcPr>
            <w:tcW w:w="12050" w:type="dxa"/>
            <w:tcBorders>
              <w:top w:val="nil"/>
              <w:left w:val="nil"/>
              <w:bottom w:val="nil"/>
              <w:right w:val="nil"/>
            </w:tcBorders>
            <w:shd w:val="clear" w:color="auto" w:fill="D5DCE4" w:themeFill="text2" w:themeFillTint="33"/>
            <w:vAlign w:val="center"/>
          </w:tcPr>
          <w:p w14:paraId="23CACA7D" w14:textId="77777777" w:rsidR="00D56219" w:rsidRDefault="00D56219" w:rsidP="00D56219">
            <w:pPr>
              <w:jc w:val="center"/>
              <w:rPr>
                <w:color w:val="000000" w:themeColor="text1"/>
              </w:rPr>
            </w:pPr>
          </w:p>
        </w:tc>
      </w:tr>
    </w:tbl>
    <w:p w14:paraId="27E67F07" w14:textId="77777777" w:rsidR="00D56219" w:rsidRDefault="00D56219" w:rsidP="004274B6">
      <w:pPr>
        <w:spacing w:line="276" w:lineRule="auto"/>
        <w:jc w:val="both"/>
        <w:rPr>
          <w:color w:val="000000" w:themeColor="text1"/>
        </w:rPr>
      </w:pPr>
    </w:p>
    <w:p w14:paraId="50A3E617" w14:textId="77777777" w:rsidR="00264876" w:rsidRDefault="00264876" w:rsidP="004274B6">
      <w:pPr>
        <w:spacing w:line="276" w:lineRule="auto"/>
        <w:jc w:val="both"/>
        <w:rPr>
          <w:color w:val="000000" w:themeColor="text1"/>
        </w:rPr>
      </w:pPr>
    </w:p>
    <w:p w14:paraId="6E49D3C2" w14:textId="338BD84F" w:rsidR="000706B1" w:rsidRPr="000706B1" w:rsidRDefault="000706B1" w:rsidP="000706B1">
      <w:pPr>
        <w:pStyle w:val="Paragraphedeliste"/>
        <w:numPr>
          <w:ilvl w:val="0"/>
          <w:numId w:val="14"/>
        </w:numPr>
        <w:spacing w:line="276" w:lineRule="auto"/>
        <w:jc w:val="both"/>
        <w:rPr>
          <w:b/>
          <w:color w:val="44546A" w:themeColor="text2"/>
          <w:sz w:val="24"/>
        </w:rPr>
      </w:pPr>
      <w:r w:rsidRPr="000706B1">
        <w:rPr>
          <w:b/>
          <w:color w:val="44546A" w:themeColor="text2"/>
          <w:sz w:val="24"/>
        </w:rPr>
        <w:t xml:space="preserve">Renoncement </w:t>
      </w:r>
      <w:r w:rsidR="00287A46">
        <w:rPr>
          <w:b/>
          <w:color w:val="44546A" w:themeColor="text2"/>
          <w:sz w:val="24"/>
        </w:rPr>
        <w:t>en cours de droit à la</w:t>
      </w:r>
      <w:r w:rsidRPr="000706B1">
        <w:rPr>
          <w:b/>
          <w:color w:val="44546A" w:themeColor="text2"/>
          <w:sz w:val="24"/>
        </w:rPr>
        <w:t xml:space="preserve"> complémentaire santé solidaire</w:t>
      </w:r>
    </w:p>
    <w:p w14:paraId="4E92A1F0" w14:textId="41AF4DBA" w:rsidR="000706B1" w:rsidRPr="000706B1" w:rsidRDefault="000706B1" w:rsidP="000706B1">
      <w:pPr>
        <w:spacing w:line="276" w:lineRule="auto"/>
        <w:jc w:val="both"/>
        <w:rPr>
          <w:b/>
          <w:i/>
          <w:color w:val="000000" w:themeColor="text1"/>
        </w:rPr>
      </w:pPr>
      <w:r w:rsidRPr="000706B1">
        <w:rPr>
          <w:b/>
          <w:i/>
          <w:color w:val="000000" w:themeColor="text1"/>
        </w:rPr>
        <w:t xml:space="preserve">Un bénéficiaire de la complémentaire santé solidaire </w:t>
      </w:r>
      <w:proofErr w:type="spellStart"/>
      <w:r w:rsidRPr="000706B1">
        <w:rPr>
          <w:b/>
          <w:i/>
          <w:color w:val="000000" w:themeColor="text1"/>
        </w:rPr>
        <w:t>pourra-t-il</w:t>
      </w:r>
      <w:proofErr w:type="spellEnd"/>
      <w:r w:rsidRPr="000706B1">
        <w:rPr>
          <w:b/>
          <w:i/>
          <w:color w:val="000000" w:themeColor="text1"/>
        </w:rPr>
        <w:t xml:space="preserve"> interrompre son contrat à tout moment avec un effet au dernier jour du mois qui suit sa demande ? Si oui, </w:t>
      </w:r>
      <w:proofErr w:type="spellStart"/>
      <w:r w:rsidRPr="000706B1">
        <w:rPr>
          <w:b/>
          <w:i/>
          <w:color w:val="000000" w:themeColor="text1"/>
        </w:rPr>
        <w:t>pourra-t-il</w:t>
      </w:r>
      <w:proofErr w:type="spellEnd"/>
      <w:r w:rsidRPr="000706B1">
        <w:rPr>
          <w:b/>
          <w:i/>
          <w:color w:val="000000" w:themeColor="text1"/>
        </w:rPr>
        <w:t xml:space="preserve"> bénéficier d’un contrat de sortie </w:t>
      </w:r>
      <w:r>
        <w:rPr>
          <w:b/>
          <w:i/>
          <w:color w:val="000000" w:themeColor="text1"/>
        </w:rPr>
        <w:t>C2S</w:t>
      </w:r>
      <w:r w:rsidRPr="000706B1">
        <w:rPr>
          <w:b/>
          <w:i/>
          <w:color w:val="000000" w:themeColor="text1"/>
        </w:rPr>
        <w:t xml:space="preserve"> et pour quelle durée (au prorata d</w:t>
      </w:r>
      <w:r>
        <w:rPr>
          <w:b/>
          <w:i/>
          <w:color w:val="000000" w:themeColor="text1"/>
        </w:rPr>
        <w:t>u nombre de mois de présence) ?</w:t>
      </w:r>
    </w:p>
    <w:p w14:paraId="36DFDC47" w14:textId="0A366617" w:rsidR="000706B1" w:rsidRDefault="000706B1" w:rsidP="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r w:rsidRPr="00E82766">
        <w:rPr>
          <w:rFonts w:eastAsia="Times New Roman" w:cstheme="minorHAnsi"/>
          <w:color w:val="000000" w:themeColor="text1"/>
          <w:lang w:eastAsia="fr-FR"/>
        </w:rPr>
        <w:t xml:space="preserve">Il sera </w:t>
      </w:r>
      <w:r w:rsidR="000C3B87">
        <w:rPr>
          <w:rFonts w:eastAsia="Times New Roman" w:cstheme="minorHAnsi"/>
          <w:color w:val="000000" w:themeColor="text1"/>
          <w:lang w:eastAsia="fr-FR"/>
        </w:rPr>
        <w:t>en effet possible, à compter du 1</w:t>
      </w:r>
      <w:r w:rsidR="000C3B87" w:rsidRPr="000C3B87">
        <w:rPr>
          <w:rFonts w:eastAsia="Times New Roman" w:cstheme="minorHAnsi"/>
          <w:color w:val="000000" w:themeColor="text1"/>
          <w:vertAlign w:val="superscript"/>
          <w:lang w:eastAsia="fr-FR"/>
        </w:rPr>
        <w:t>er</w:t>
      </w:r>
      <w:r w:rsidR="000C3B87">
        <w:rPr>
          <w:rFonts w:eastAsia="Times New Roman" w:cstheme="minorHAnsi"/>
          <w:color w:val="000000" w:themeColor="text1"/>
          <w:lang w:eastAsia="fr-FR"/>
        </w:rPr>
        <w:t xml:space="preserve"> avril 2022,</w:t>
      </w:r>
      <w:r w:rsidRPr="00E82766">
        <w:rPr>
          <w:rFonts w:eastAsia="Times New Roman" w:cstheme="minorHAnsi"/>
          <w:color w:val="000000" w:themeColor="text1"/>
          <w:lang w:eastAsia="fr-FR"/>
        </w:rPr>
        <w:t xml:space="preserve"> de renoncer à la complémentaire santé solidaire en cours de droit </w:t>
      </w:r>
      <w:r w:rsidRPr="00E82766">
        <w:rPr>
          <w:rFonts w:eastAsia="Times New Roman" w:cstheme="minorHAnsi"/>
          <w:b/>
          <w:bCs/>
          <w:color w:val="000000" w:themeColor="text1"/>
          <w:lang w:eastAsia="fr-FR"/>
        </w:rPr>
        <w:t>sans frais ni pénalités</w:t>
      </w:r>
      <w:r w:rsidRPr="00E82766">
        <w:rPr>
          <w:rFonts w:eastAsia="Times New Roman" w:cstheme="minorHAnsi"/>
          <w:color w:val="000000" w:themeColor="text1"/>
          <w:lang w:eastAsia="fr-FR"/>
        </w:rPr>
        <w:t xml:space="preserve">. L’interruption </w:t>
      </w:r>
      <w:r w:rsidRPr="00E82766">
        <w:rPr>
          <w:rFonts w:eastAsia="Times New Roman" w:cstheme="minorHAnsi"/>
          <w:b/>
          <w:bCs/>
          <w:color w:val="000000" w:themeColor="text1"/>
          <w:lang w:eastAsia="fr-FR"/>
        </w:rPr>
        <w:t>du contrat prendra effet à la fin du mois de réception, par l’organisme gestionnaire de la notification par l’adhérent</w:t>
      </w:r>
      <w:r w:rsidRPr="00E82766">
        <w:rPr>
          <w:rFonts w:eastAsia="Times New Roman" w:cstheme="minorHAnsi"/>
          <w:color w:val="000000" w:themeColor="text1"/>
          <w:lang w:eastAsia="fr-FR"/>
        </w:rPr>
        <w:t>. L’organisme gestionnaire met fin au droit C2S au dernier jour du mois de la réception de la demande de renoncement au droit.</w:t>
      </w:r>
      <w:r>
        <w:rPr>
          <w:rFonts w:eastAsia="Times New Roman" w:cstheme="minorHAnsi"/>
          <w:color w:val="000000" w:themeColor="text1"/>
          <w:lang w:eastAsia="fr-FR"/>
        </w:rPr>
        <w:t xml:space="preserve"> Une fois le droit fermé, il ne sera pas possible de le ré-ouvrir.</w:t>
      </w:r>
    </w:p>
    <w:p w14:paraId="63F73FF8" w14:textId="77777777" w:rsidR="002C1412" w:rsidRPr="002C1412" w:rsidRDefault="002C1412" w:rsidP="002C1412">
      <w:pPr>
        <w:widowControl w:val="0"/>
        <w:suppressAutoHyphens/>
        <w:overflowPunct w:val="0"/>
        <w:autoSpaceDE w:val="0"/>
        <w:autoSpaceDN w:val="0"/>
        <w:adjustRightInd w:val="0"/>
        <w:spacing w:after="0" w:line="240" w:lineRule="auto"/>
        <w:ind w:right="33"/>
        <w:jc w:val="both"/>
        <w:textAlignment w:val="baseline"/>
        <w:rPr>
          <w:rFonts w:eastAsia="Times New Roman" w:cstheme="minorHAnsi"/>
          <w:color w:val="000000" w:themeColor="text1"/>
          <w:lang w:eastAsia="fr-FR"/>
        </w:rPr>
      </w:pPr>
    </w:p>
    <w:p w14:paraId="26021912" w14:textId="5289421D" w:rsidR="002C1412" w:rsidRPr="002C1412" w:rsidRDefault="002C1412" w:rsidP="000706B1">
      <w:pPr>
        <w:spacing w:line="276" w:lineRule="auto"/>
        <w:jc w:val="both"/>
        <w:rPr>
          <w:b/>
          <w:color w:val="000000" w:themeColor="text1"/>
        </w:rPr>
      </w:pPr>
      <w:r w:rsidRPr="002C1412">
        <w:rPr>
          <w:b/>
          <w:color w:val="000000" w:themeColor="text1"/>
        </w:rPr>
        <w:t>En cas d’interruption du droit à la complémentaire santé solidaire, un contrat de sortie de 12 mois doit être proposé à l’assuré, conformément à l’article L. 861-12 du code de la sécurité sociale.</w:t>
      </w:r>
    </w:p>
    <w:p w14:paraId="6F17B5C3" w14:textId="77777777" w:rsidR="000706B1" w:rsidRPr="000706B1" w:rsidRDefault="000706B1" w:rsidP="000706B1">
      <w:pPr>
        <w:spacing w:line="276" w:lineRule="auto"/>
        <w:jc w:val="both"/>
        <w:rPr>
          <w:color w:val="000000" w:themeColor="text1"/>
        </w:rPr>
      </w:pPr>
    </w:p>
    <w:p w14:paraId="481E7251" w14:textId="2A79D7C6" w:rsidR="00264876" w:rsidRPr="004274B6" w:rsidRDefault="00264876" w:rsidP="000706B1">
      <w:pPr>
        <w:spacing w:line="276" w:lineRule="auto"/>
        <w:jc w:val="both"/>
        <w:rPr>
          <w:color w:val="000000" w:themeColor="text1"/>
        </w:rPr>
      </w:pPr>
    </w:p>
    <w:sectPr w:rsidR="00264876" w:rsidRPr="00427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2BEB"/>
    <w:multiLevelType w:val="hybridMultilevel"/>
    <w:tmpl w:val="0F741F38"/>
    <w:lvl w:ilvl="0" w:tplc="3242631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81281"/>
    <w:multiLevelType w:val="hybridMultilevel"/>
    <w:tmpl w:val="28408392"/>
    <w:lvl w:ilvl="0" w:tplc="DF94E47A">
      <w:start w:val="1"/>
      <w:numFmt w:val="bullet"/>
      <w:lvlText w:val="•"/>
      <w:lvlJc w:val="left"/>
      <w:pPr>
        <w:tabs>
          <w:tab w:val="num" w:pos="720"/>
        </w:tabs>
        <w:ind w:left="720" w:hanging="360"/>
      </w:pPr>
      <w:rPr>
        <w:rFonts w:ascii="Arial" w:hAnsi="Arial" w:hint="default"/>
      </w:rPr>
    </w:lvl>
    <w:lvl w:ilvl="1" w:tplc="9A7055AC" w:tentative="1">
      <w:start w:val="1"/>
      <w:numFmt w:val="bullet"/>
      <w:lvlText w:val="•"/>
      <w:lvlJc w:val="left"/>
      <w:pPr>
        <w:tabs>
          <w:tab w:val="num" w:pos="1440"/>
        </w:tabs>
        <w:ind w:left="1440" w:hanging="360"/>
      </w:pPr>
      <w:rPr>
        <w:rFonts w:ascii="Arial" w:hAnsi="Arial" w:hint="default"/>
      </w:rPr>
    </w:lvl>
    <w:lvl w:ilvl="2" w:tplc="336C0B5C" w:tentative="1">
      <w:start w:val="1"/>
      <w:numFmt w:val="bullet"/>
      <w:lvlText w:val="•"/>
      <w:lvlJc w:val="left"/>
      <w:pPr>
        <w:tabs>
          <w:tab w:val="num" w:pos="2160"/>
        </w:tabs>
        <w:ind w:left="2160" w:hanging="360"/>
      </w:pPr>
      <w:rPr>
        <w:rFonts w:ascii="Arial" w:hAnsi="Arial" w:hint="default"/>
      </w:rPr>
    </w:lvl>
    <w:lvl w:ilvl="3" w:tplc="2722C7D8" w:tentative="1">
      <w:start w:val="1"/>
      <w:numFmt w:val="bullet"/>
      <w:lvlText w:val="•"/>
      <w:lvlJc w:val="left"/>
      <w:pPr>
        <w:tabs>
          <w:tab w:val="num" w:pos="2880"/>
        </w:tabs>
        <w:ind w:left="2880" w:hanging="360"/>
      </w:pPr>
      <w:rPr>
        <w:rFonts w:ascii="Arial" w:hAnsi="Arial" w:hint="default"/>
      </w:rPr>
    </w:lvl>
    <w:lvl w:ilvl="4" w:tplc="2C587526" w:tentative="1">
      <w:start w:val="1"/>
      <w:numFmt w:val="bullet"/>
      <w:lvlText w:val="•"/>
      <w:lvlJc w:val="left"/>
      <w:pPr>
        <w:tabs>
          <w:tab w:val="num" w:pos="3600"/>
        </w:tabs>
        <w:ind w:left="3600" w:hanging="360"/>
      </w:pPr>
      <w:rPr>
        <w:rFonts w:ascii="Arial" w:hAnsi="Arial" w:hint="default"/>
      </w:rPr>
    </w:lvl>
    <w:lvl w:ilvl="5" w:tplc="D85828E6" w:tentative="1">
      <w:start w:val="1"/>
      <w:numFmt w:val="bullet"/>
      <w:lvlText w:val="•"/>
      <w:lvlJc w:val="left"/>
      <w:pPr>
        <w:tabs>
          <w:tab w:val="num" w:pos="4320"/>
        </w:tabs>
        <w:ind w:left="4320" w:hanging="360"/>
      </w:pPr>
      <w:rPr>
        <w:rFonts w:ascii="Arial" w:hAnsi="Arial" w:hint="default"/>
      </w:rPr>
    </w:lvl>
    <w:lvl w:ilvl="6" w:tplc="6BEA8A8E" w:tentative="1">
      <w:start w:val="1"/>
      <w:numFmt w:val="bullet"/>
      <w:lvlText w:val="•"/>
      <w:lvlJc w:val="left"/>
      <w:pPr>
        <w:tabs>
          <w:tab w:val="num" w:pos="5040"/>
        </w:tabs>
        <w:ind w:left="5040" w:hanging="360"/>
      </w:pPr>
      <w:rPr>
        <w:rFonts w:ascii="Arial" w:hAnsi="Arial" w:hint="default"/>
      </w:rPr>
    </w:lvl>
    <w:lvl w:ilvl="7" w:tplc="04A0E514" w:tentative="1">
      <w:start w:val="1"/>
      <w:numFmt w:val="bullet"/>
      <w:lvlText w:val="•"/>
      <w:lvlJc w:val="left"/>
      <w:pPr>
        <w:tabs>
          <w:tab w:val="num" w:pos="5760"/>
        </w:tabs>
        <w:ind w:left="5760" w:hanging="360"/>
      </w:pPr>
      <w:rPr>
        <w:rFonts w:ascii="Arial" w:hAnsi="Arial" w:hint="default"/>
      </w:rPr>
    </w:lvl>
    <w:lvl w:ilvl="8" w:tplc="B67C6B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87196B"/>
    <w:multiLevelType w:val="hybridMultilevel"/>
    <w:tmpl w:val="B34880A8"/>
    <w:lvl w:ilvl="0" w:tplc="3242631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C734D7"/>
    <w:multiLevelType w:val="hybridMultilevel"/>
    <w:tmpl w:val="145A122C"/>
    <w:lvl w:ilvl="0" w:tplc="3242631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7078F1"/>
    <w:multiLevelType w:val="hybridMultilevel"/>
    <w:tmpl w:val="0E88FB7A"/>
    <w:lvl w:ilvl="0" w:tplc="19484F0A">
      <w:start w:val="1"/>
      <w:numFmt w:val="bullet"/>
      <w:lvlText w:val=""/>
      <w:lvlJc w:val="left"/>
      <w:pPr>
        <w:tabs>
          <w:tab w:val="num" w:pos="720"/>
        </w:tabs>
        <w:ind w:left="720" w:hanging="360"/>
      </w:pPr>
      <w:rPr>
        <w:rFonts w:ascii="Wingdings" w:hAnsi="Wingdings" w:hint="default"/>
      </w:rPr>
    </w:lvl>
    <w:lvl w:ilvl="1" w:tplc="A9BAD5EA" w:tentative="1">
      <w:start w:val="1"/>
      <w:numFmt w:val="bullet"/>
      <w:lvlText w:val=""/>
      <w:lvlJc w:val="left"/>
      <w:pPr>
        <w:tabs>
          <w:tab w:val="num" w:pos="1440"/>
        </w:tabs>
        <w:ind w:left="1440" w:hanging="360"/>
      </w:pPr>
      <w:rPr>
        <w:rFonts w:ascii="Wingdings" w:hAnsi="Wingdings" w:hint="default"/>
      </w:rPr>
    </w:lvl>
    <w:lvl w:ilvl="2" w:tplc="FED0F560" w:tentative="1">
      <w:start w:val="1"/>
      <w:numFmt w:val="bullet"/>
      <w:lvlText w:val=""/>
      <w:lvlJc w:val="left"/>
      <w:pPr>
        <w:tabs>
          <w:tab w:val="num" w:pos="2160"/>
        </w:tabs>
        <w:ind w:left="2160" w:hanging="360"/>
      </w:pPr>
      <w:rPr>
        <w:rFonts w:ascii="Wingdings" w:hAnsi="Wingdings" w:hint="default"/>
      </w:rPr>
    </w:lvl>
    <w:lvl w:ilvl="3" w:tplc="1812B7BE" w:tentative="1">
      <w:start w:val="1"/>
      <w:numFmt w:val="bullet"/>
      <w:lvlText w:val=""/>
      <w:lvlJc w:val="left"/>
      <w:pPr>
        <w:tabs>
          <w:tab w:val="num" w:pos="2880"/>
        </w:tabs>
        <w:ind w:left="2880" w:hanging="360"/>
      </w:pPr>
      <w:rPr>
        <w:rFonts w:ascii="Wingdings" w:hAnsi="Wingdings" w:hint="default"/>
      </w:rPr>
    </w:lvl>
    <w:lvl w:ilvl="4" w:tplc="7910E2EA" w:tentative="1">
      <w:start w:val="1"/>
      <w:numFmt w:val="bullet"/>
      <w:lvlText w:val=""/>
      <w:lvlJc w:val="left"/>
      <w:pPr>
        <w:tabs>
          <w:tab w:val="num" w:pos="3600"/>
        </w:tabs>
        <w:ind w:left="3600" w:hanging="360"/>
      </w:pPr>
      <w:rPr>
        <w:rFonts w:ascii="Wingdings" w:hAnsi="Wingdings" w:hint="default"/>
      </w:rPr>
    </w:lvl>
    <w:lvl w:ilvl="5" w:tplc="A8F4046E" w:tentative="1">
      <w:start w:val="1"/>
      <w:numFmt w:val="bullet"/>
      <w:lvlText w:val=""/>
      <w:lvlJc w:val="left"/>
      <w:pPr>
        <w:tabs>
          <w:tab w:val="num" w:pos="4320"/>
        </w:tabs>
        <w:ind w:left="4320" w:hanging="360"/>
      </w:pPr>
      <w:rPr>
        <w:rFonts w:ascii="Wingdings" w:hAnsi="Wingdings" w:hint="default"/>
      </w:rPr>
    </w:lvl>
    <w:lvl w:ilvl="6" w:tplc="4E8013D8" w:tentative="1">
      <w:start w:val="1"/>
      <w:numFmt w:val="bullet"/>
      <w:lvlText w:val=""/>
      <w:lvlJc w:val="left"/>
      <w:pPr>
        <w:tabs>
          <w:tab w:val="num" w:pos="5040"/>
        </w:tabs>
        <w:ind w:left="5040" w:hanging="360"/>
      </w:pPr>
      <w:rPr>
        <w:rFonts w:ascii="Wingdings" w:hAnsi="Wingdings" w:hint="default"/>
      </w:rPr>
    </w:lvl>
    <w:lvl w:ilvl="7" w:tplc="C6A2C882" w:tentative="1">
      <w:start w:val="1"/>
      <w:numFmt w:val="bullet"/>
      <w:lvlText w:val=""/>
      <w:lvlJc w:val="left"/>
      <w:pPr>
        <w:tabs>
          <w:tab w:val="num" w:pos="5760"/>
        </w:tabs>
        <w:ind w:left="5760" w:hanging="360"/>
      </w:pPr>
      <w:rPr>
        <w:rFonts w:ascii="Wingdings" w:hAnsi="Wingdings" w:hint="default"/>
      </w:rPr>
    </w:lvl>
    <w:lvl w:ilvl="8" w:tplc="D78A53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458BB"/>
    <w:multiLevelType w:val="hybridMultilevel"/>
    <w:tmpl w:val="98C2E434"/>
    <w:lvl w:ilvl="0" w:tplc="61185DD2">
      <w:start w:val="1"/>
      <w:numFmt w:val="bullet"/>
      <w:lvlText w:val=""/>
      <w:lvlJc w:val="left"/>
      <w:pPr>
        <w:tabs>
          <w:tab w:val="num" w:pos="720"/>
        </w:tabs>
        <w:ind w:left="720" w:hanging="360"/>
      </w:pPr>
      <w:rPr>
        <w:rFonts w:ascii="Wingdings" w:hAnsi="Wingdings" w:hint="default"/>
      </w:rPr>
    </w:lvl>
    <w:lvl w:ilvl="1" w:tplc="A6EEA15E" w:tentative="1">
      <w:start w:val="1"/>
      <w:numFmt w:val="bullet"/>
      <w:lvlText w:val=""/>
      <w:lvlJc w:val="left"/>
      <w:pPr>
        <w:tabs>
          <w:tab w:val="num" w:pos="1440"/>
        </w:tabs>
        <w:ind w:left="1440" w:hanging="360"/>
      </w:pPr>
      <w:rPr>
        <w:rFonts w:ascii="Wingdings" w:hAnsi="Wingdings" w:hint="default"/>
      </w:rPr>
    </w:lvl>
    <w:lvl w:ilvl="2" w:tplc="13F4BBA2" w:tentative="1">
      <w:start w:val="1"/>
      <w:numFmt w:val="bullet"/>
      <w:lvlText w:val=""/>
      <w:lvlJc w:val="left"/>
      <w:pPr>
        <w:tabs>
          <w:tab w:val="num" w:pos="2160"/>
        </w:tabs>
        <w:ind w:left="2160" w:hanging="360"/>
      </w:pPr>
      <w:rPr>
        <w:rFonts w:ascii="Wingdings" w:hAnsi="Wingdings" w:hint="default"/>
      </w:rPr>
    </w:lvl>
    <w:lvl w:ilvl="3" w:tplc="EEFCD6DE" w:tentative="1">
      <w:start w:val="1"/>
      <w:numFmt w:val="bullet"/>
      <w:lvlText w:val=""/>
      <w:lvlJc w:val="left"/>
      <w:pPr>
        <w:tabs>
          <w:tab w:val="num" w:pos="2880"/>
        </w:tabs>
        <w:ind w:left="2880" w:hanging="360"/>
      </w:pPr>
      <w:rPr>
        <w:rFonts w:ascii="Wingdings" w:hAnsi="Wingdings" w:hint="default"/>
      </w:rPr>
    </w:lvl>
    <w:lvl w:ilvl="4" w:tplc="872E859A" w:tentative="1">
      <w:start w:val="1"/>
      <w:numFmt w:val="bullet"/>
      <w:lvlText w:val=""/>
      <w:lvlJc w:val="left"/>
      <w:pPr>
        <w:tabs>
          <w:tab w:val="num" w:pos="3600"/>
        </w:tabs>
        <w:ind w:left="3600" w:hanging="360"/>
      </w:pPr>
      <w:rPr>
        <w:rFonts w:ascii="Wingdings" w:hAnsi="Wingdings" w:hint="default"/>
      </w:rPr>
    </w:lvl>
    <w:lvl w:ilvl="5" w:tplc="E340CF32" w:tentative="1">
      <w:start w:val="1"/>
      <w:numFmt w:val="bullet"/>
      <w:lvlText w:val=""/>
      <w:lvlJc w:val="left"/>
      <w:pPr>
        <w:tabs>
          <w:tab w:val="num" w:pos="4320"/>
        </w:tabs>
        <w:ind w:left="4320" w:hanging="360"/>
      </w:pPr>
      <w:rPr>
        <w:rFonts w:ascii="Wingdings" w:hAnsi="Wingdings" w:hint="default"/>
      </w:rPr>
    </w:lvl>
    <w:lvl w:ilvl="6" w:tplc="6AE2F722" w:tentative="1">
      <w:start w:val="1"/>
      <w:numFmt w:val="bullet"/>
      <w:lvlText w:val=""/>
      <w:lvlJc w:val="left"/>
      <w:pPr>
        <w:tabs>
          <w:tab w:val="num" w:pos="5040"/>
        </w:tabs>
        <w:ind w:left="5040" w:hanging="360"/>
      </w:pPr>
      <w:rPr>
        <w:rFonts w:ascii="Wingdings" w:hAnsi="Wingdings" w:hint="default"/>
      </w:rPr>
    </w:lvl>
    <w:lvl w:ilvl="7" w:tplc="5D04B9DC" w:tentative="1">
      <w:start w:val="1"/>
      <w:numFmt w:val="bullet"/>
      <w:lvlText w:val=""/>
      <w:lvlJc w:val="left"/>
      <w:pPr>
        <w:tabs>
          <w:tab w:val="num" w:pos="5760"/>
        </w:tabs>
        <w:ind w:left="5760" w:hanging="360"/>
      </w:pPr>
      <w:rPr>
        <w:rFonts w:ascii="Wingdings" w:hAnsi="Wingdings" w:hint="default"/>
      </w:rPr>
    </w:lvl>
    <w:lvl w:ilvl="8" w:tplc="A59CD0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A1855"/>
    <w:multiLevelType w:val="hybridMultilevel"/>
    <w:tmpl w:val="55A4D698"/>
    <w:lvl w:ilvl="0" w:tplc="117C3024">
      <w:start w:val="1"/>
      <w:numFmt w:val="bullet"/>
      <w:lvlText w:val=""/>
      <w:lvlJc w:val="left"/>
      <w:pPr>
        <w:tabs>
          <w:tab w:val="num" w:pos="720"/>
        </w:tabs>
        <w:ind w:left="720" w:hanging="360"/>
      </w:pPr>
      <w:rPr>
        <w:rFonts w:ascii="Wingdings" w:hAnsi="Wingdings" w:hint="default"/>
      </w:rPr>
    </w:lvl>
    <w:lvl w:ilvl="1" w:tplc="2620E69A" w:tentative="1">
      <w:start w:val="1"/>
      <w:numFmt w:val="bullet"/>
      <w:lvlText w:val=""/>
      <w:lvlJc w:val="left"/>
      <w:pPr>
        <w:tabs>
          <w:tab w:val="num" w:pos="1440"/>
        </w:tabs>
        <w:ind w:left="1440" w:hanging="360"/>
      </w:pPr>
      <w:rPr>
        <w:rFonts w:ascii="Wingdings" w:hAnsi="Wingdings" w:hint="default"/>
      </w:rPr>
    </w:lvl>
    <w:lvl w:ilvl="2" w:tplc="391EB404" w:tentative="1">
      <w:start w:val="1"/>
      <w:numFmt w:val="bullet"/>
      <w:lvlText w:val=""/>
      <w:lvlJc w:val="left"/>
      <w:pPr>
        <w:tabs>
          <w:tab w:val="num" w:pos="2160"/>
        </w:tabs>
        <w:ind w:left="2160" w:hanging="360"/>
      </w:pPr>
      <w:rPr>
        <w:rFonts w:ascii="Wingdings" w:hAnsi="Wingdings" w:hint="default"/>
      </w:rPr>
    </w:lvl>
    <w:lvl w:ilvl="3" w:tplc="99A856FA" w:tentative="1">
      <w:start w:val="1"/>
      <w:numFmt w:val="bullet"/>
      <w:lvlText w:val=""/>
      <w:lvlJc w:val="left"/>
      <w:pPr>
        <w:tabs>
          <w:tab w:val="num" w:pos="2880"/>
        </w:tabs>
        <w:ind w:left="2880" w:hanging="360"/>
      </w:pPr>
      <w:rPr>
        <w:rFonts w:ascii="Wingdings" w:hAnsi="Wingdings" w:hint="default"/>
      </w:rPr>
    </w:lvl>
    <w:lvl w:ilvl="4" w:tplc="3D1E2566" w:tentative="1">
      <w:start w:val="1"/>
      <w:numFmt w:val="bullet"/>
      <w:lvlText w:val=""/>
      <w:lvlJc w:val="left"/>
      <w:pPr>
        <w:tabs>
          <w:tab w:val="num" w:pos="3600"/>
        </w:tabs>
        <w:ind w:left="3600" w:hanging="360"/>
      </w:pPr>
      <w:rPr>
        <w:rFonts w:ascii="Wingdings" w:hAnsi="Wingdings" w:hint="default"/>
      </w:rPr>
    </w:lvl>
    <w:lvl w:ilvl="5" w:tplc="FE56F2D4" w:tentative="1">
      <w:start w:val="1"/>
      <w:numFmt w:val="bullet"/>
      <w:lvlText w:val=""/>
      <w:lvlJc w:val="left"/>
      <w:pPr>
        <w:tabs>
          <w:tab w:val="num" w:pos="4320"/>
        </w:tabs>
        <w:ind w:left="4320" w:hanging="360"/>
      </w:pPr>
      <w:rPr>
        <w:rFonts w:ascii="Wingdings" w:hAnsi="Wingdings" w:hint="default"/>
      </w:rPr>
    </w:lvl>
    <w:lvl w:ilvl="6" w:tplc="6A7EC202" w:tentative="1">
      <w:start w:val="1"/>
      <w:numFmt w:val="bullet"/>
      <w:lvlText w:val=""/>
      <w:lvlJc w:val="left"/>
      <w:pPr>
        <w:tabs>
          <w:tab w:val="num" w:pos="5040"/>
        </w:tabs>
        <w:ind w:left="5040" w:hanging="360"/>
      </w:pPr>
      <w:rPr>
        <w:rFonts w:ascii="Wingdings" w:hAnsi="Wingdings" w:hint="default"/>
      </w:rPr>
    </w:lvl>
    <w:lvl w:ilvl="7" w:tplc="5E1E39D8" w:tentative="1">
      <w:start w:val="1"/>
      <w:numFmt w:val="bullet"/>
      <w:lvlText w:val=""/>
      <w:lvlJc w:val="left"/>
      <w:pPr>
        <w:tabs>
          <w:tab w:val="num" w:pos="5760"/>
        </w:tabs>
        <w:ind w:left="5760" w:hanging="360"/>
      </w:pPr>
      <w:rPr>
        <w:rFonts w:ascii="Wingdings" w:hAnsi="Wingdings" w:hint="default"/>
      </w:rPr>
    </w:lvl>
    <w:lvl w:ilvl="8" w:tplc="729422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D23B8"/>
    <w:multiLevelType w:val="hybridMultilevel"/>
    <w:tmpl w:val="011ABDDE"/>
    <w:lvl w:ilvl="0" w:tplc="3242631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A15D59"/>
    <w:multiLevelType w:val="hybridMultilevel"/>
    <w:tmpl w:val="EEE44748"/>
    <w:lvl w:ilvl="0" w:tplc="138C53EA">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DD5195"/>
    <w:multiLevelType w:val="hybridMultilevel"/>
    <w:tmpl w:val="00D2FA9C"/>
    <w:lvl w:ilvl="0" w:tplc="CBDC48F8">
      <w:start w:val="1"/>
      <w:numFmt w:val="bullet"/>
      <w:lvlText w:val=""/>
      <w:lvlJc w:val="left"/>
      <w:pPr>
        <w:tabs>
          <w:tab w:val="num" w:pos="720"/>
        </w:tabs>
        <w:ind w:left="720" w:hanging="360"/>
      </w:pPr>
      <w:rPr>
        <w:rFonts w:ascii="Wingdings" w:hAnsi="Wingdings" w:hint="default"/>
      </w:rPr>
    </w:lvl>
    <w:lvl w:ilvl="1" w:tplc="B290F496" w:tentative="1">
      <w:start w:val="1"/>
      <w:numFmt w:val="bullet"/>
      <w:lvlText w:val=""/>
      <w:lvlJc w:val="left"/>
      <w:pPr>
        <w:tabs>
          <w:tab w:val="num" w:pos="1440"/>
        </w:tabs>
        <w:ind w:left="1440" w:hanging="360"/>
      </w:pPr>
      <w:rPr>
        <w:rFonts w:ascii="Wingdings" w:hAnsi="Wingdings" w:hint="default"/>
      </w:rPr>
    </w:lvl>
    <w:lvl w:ilvl="2" w:tplc="CA1C2D3E" w:tentative="1">
      <w:start w:val="1"/>
      <w:numFmt w:val="bullet"/>
      <w:lvlText w:val=""/>
      <w:lvlJc w:val="left"/>
      <w:pPr>
        <w:tabs>
          <w:tab w:val="num" w:pos="2160"/>
        </w:tabs>
        <w:ind w:left="2160" w:hanging="360"/>
      </w:pPr>
      <w:rPr>
        <w:rFonts w:ascii="Wingdings" w:hAnsi="Wingdings" w:hint="default"/>
      </w:rPr>
    </w:lvl>
    <w:lvl w:ilvl="3" w:tplc="06EE1CC2" w:tentative="1">
      <w:start w:val="1"/>
      <w:numFmt w:val="bullet"/>
      <w:lvlText w:val=""/>
      <w:lvlJc w:val="left"/>
      <w:pPr>
        <w:tabs>
          <w:tab w:val="num" w:pos="2880"/>
        </w:tabs>
        <w:ind w:left="2880" w:hanging="360"/>
      </w:pPr>
      <w:rPr>
        <w:rFonts w:ascii="Wingdings" w:hAnsi="Wingdings" w:hint="default"/>
      </w:rPr>
    </w:lvl>
    <w:lvl w:ilvl="4" w:tplc="9116828E" w:tentative="1">
      <w:start w:val="1"/>
      <w:numFmt w:val="bullet"/>
      <w:lvlText w:val=""/>
      <w:lvlJc w:val="left"/>
      <w:pPr>
        <w:tabs>
          <w:tab w:val="num" w:pos="3600"/>
        </w:tabs>
        <w:ind w:left="3600" w:hanging="360"/>
      </w:pPr>
      <w:rPr>
        <w:rFonts w:ascii="Wingdings" w:hAnsi="Wingdings" w:hint="default"/>
      </w:rPr>
    </w:lvl>
    <w:lvl w:ilvl="5" w:tplc="2730A94A" w:tentative="1">
      <w:start w:val="1"/>
      <w:numFmt w:val="bullet"/>
      <w:lvlText w:val=""/>
      <w:lvlJc w:val="left"/>
      <w:pPr>
        <w:tabs>
          <w:tab w:val="num" w:pos="4320"/>
        </w:tabs>
        <w:ind w:left="4320" w:hanging="360"/>
      </w:pPr>
      <w:rPr>
        <w:rFonts w:ascii="Wingdings" w:hAnsi="Wingdings" w:hint="default"/>
      </w:rPr>
    </w:lvl>
    <w:lvl w:ilvl="6" w:tplc="1750D9BA" w:tentative="1">
      <w:start w:val="1"/>
      <w:numFmt w:val="bullet"/>
      <w:lvlText w:val=""/>
      <w:lvlJc w:val="left"/>
      <w:pPr>
        <w:tabs>
          <w:tab w:val="num" w:pos="5040"/>
        </w:tabs>
        <w:ind w:left="5040" w:hanging="360"/>
      </w:pPr>
      <w:rPr>
        <w:rFonts w:ascii="Wingdings" w:hAnsi="Wingdings" w:hint="default"/>
      </w:rPr>
    </w:lvl>
    <w:lvl w:ilvl="7" w:tplc="41441DC0" w:tentative="1">
      <w:start w:val="1"/>
      <w:numFmt w:val="bullet"/>
      <w:lvlText w:val=""/>
      <w:lvlJc w:val="left"/>
      <w:pPr>
        <w:tabs>
          <w:tab w:val="num" w:pos="5760"/>
        </w:tabs>
        <w:ind w:left="5760" w:hanging="360"/>
      </w:pPr>
      <w:rPr>
        <w:rFonts w:ascii="Wingdings" w:hAnsi="Wingdings" w:hint="default"/>
      </w:rPr>
    </w:lvl>
    <w:lvl w:ilvl="8" w:tplc="95EE5D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966B9"/>
    <w:multiLevelType w:val="hybridMultilevel"/>
    <w:tmpl w:val="8AA0A0D0"/>
    <w:lvl w:ilvl="0" w:tplc="33580AA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480206"/>
    <w:multiLevelType w:val="hybridMultilevel"/>
    <w:tmpl w:val="B55C0938"/>
    <w:lvl w:ilvl="0" w:tplc="3242631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54146B"/>
    <w:multiLevelType w:val="hybridMultilevel"/>
    <w:tmpl w:val="08B2D144"/>
    <w:lvl w:ilvl="0" w:tplc="BF1ABB9C">
      <w:start w:val="1"/>
      <w:numFmt w:val="bullet"/>
      <w:lvlText w:val="•"/>
      <w:lvlJc w:val="left"/>
      <w:pPr>
        <w:tabs>
          <w:tab w:val="num" w:pos="720"/>
        </w:tabs>
        <w:ind w:left="720" w:hanging="360"/>
      </w:pPr>
      <w:rPr>
        <w:rFonts w:ascii="Arial" w:hAnsi="Arial" w:hint="default"/>
      </w:rPr>
    </w:lvl>
    <w:lvl w:ilvl="1" w:tplc="DF7C4826">
      <w:start w:val="1"/>
      <w:numFmt w:val="bullet"/>
      <w:lvlText w:val="•"/>
      <w:lvlJc w:val="left"/>
      <w:pPr>
        <w:tabs>
          <w:tab w:val="num" w:pos="1440"/>
        </w:tabs>
        <w:ind w:left="1440" w:hanging="360"/>
      </w:pPr>
      <w:rPr>
        <w:rFonts w:ascii="Arial" w:hAnsi="Arial" w:hint="default"/>
      </w:rPr>
    </w:lvl>
    <w:lvl w:ilvl="2" w:tplc="4A868EBC" w:tentative="1">
      <w:start w:val="1"/>
      <w:numFmt w:val="bullet"/>
      <w:lvlText w:val="•"/>
      <w:lvlJc w:val="left"/>
      <w:pPr>
        <w:tabs>
          <w:tab w:val="num" w:pos="2160"/>
        </w:tabs>
        <w:ind w:left="2160" w:hanging="360"/>
      </w:pPr>
      <w:rPr>
        <w:rFonts w:ascii="Arial" w:hAnsi="Arial" w:hint="default"/>
      </w:rPr>
    </w:lvl>
    <w:lvl w:ilvl="3" w:tplc="598EFACE" w:tentative="1">
      <w:start w:val="1"/>
      <w:numFmt w:val="bullet"/>
      <w:lvlText w:val="•"/>
      <w:lvlJc w:val="left"/>
      <w:pPr>
        <w:tabs>
          <w:tab w:val="num" w:pos="2880"/>
        </w:tabs>
        <w:ind w:left="2880" w:hanging="360"/>
      </w:pPr>
      <w:rPr>
        <w:rFonts w:ascii="Arial" w:hAnsi="Arial" w:hint="default"/>
      </w:rPr>
    </w:lvl>
    <w:lvl w:ilvl="4" w:tplc="3252C15E" w:tentative="1">
      <w:start w:val="1"/>
      <w:numFmt w:val="bullet"/>
      <w:lvlText w:val="•"/>
      <w:lvlJc w:val="left"/>
      <w:pPr>
        <w:tabs>
          <w:tab w:val="num" w:pos="3600"/>
        </w:tabs>
        <w:ind w:left="3600" w:hanging="360"/>
      </w:pPr>
      <w:rPr>
        <w:rFonts w:ascii="Arial" w:hAnsi="Arial" w:hint="default"/>
      </w:rPr>
    </w:lvl>
    <w:lvl w:ilvl="5" w:tplc="D8F4B096" w:tentative="1">
      <w:start w:val="1"/>
      <w:numFmt w:val="bullet"/>
      <w:lvlText w:val="•"/>
      <w:lvlJc w:val="left"/>
      <w:pPr>
        <w:tabs>
          <w:tab w:val="num" w:pos="4320"/>
        </w:tabs>
        <w:ind w:left="4320" w:hanging="360"/>
      </w:pPr>
      <w:rPr>
        <w:rFonts w:ascii="Arial" w:hAnsi="Arial" w:hint="default"/>
      </w:rPr>
    </w:lvl>
    <w:lvl w:ilvl="6" w:tplc="0BAC352A" w:tentative="1">
      <w:start w:val="1"/>
      <w:numFmt w:val="bullet"/>
      <w:lvlText w:val="•"/>
      <w:lvlJc w:val="left"/>
      <w:pPr>
        <w:tabs>
          <w:tab w:val="num" w:pos="5040"/>
        </w:tabs>
        <w:ind w:left="5040" w:hanging="360"/>
      </w:pPr>
      <w:rPr>
        <w:rFonts w:ascii="Arial" w:hAnsi="Arial" w:hint="default"/>
      </w:rPr>
    </w:lvl>
    <w:lvl w:ilvl="7" w:tplc="14E2A870" w:tentative="1">
      <w:start w:val="1"/>
      <w:numFmt w:val="bullet"/>
      <w:lvlText w:val="•"/>
      <w:lvlJc w:val="left"/>
      <w:pPr>
        <w:tabs>
          <w:tab w:val="num" w:pos="5760"/>
        </w:tabs>
        <w:ind w:left="5760" w:hanging="360"/>
      </w:pPr>
      <w:rPr>
        <w:rFonts w:ascii="Arial" w:hAnsi="Arial" w:hint="default"/>
      </w:rPr>
    </w:lvl>
    <w:lvl w:ilvl="8" w:tplc="5CA835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DA7633"/>
    <w:multiLevelType w:val="hybridMultilevel"/>
    <w:tmpl w:val="3EB4D6B6"/>
    <w:lvl w:ilvl="0" w:tplc="3EB88A84">
      <w:start w:val="1"/>
      <w:numFmt w:val="bullet"/>
      <w:lvlText w:val=""/>
      <w:lvlJc w:val="left"/>
      <w:pPr>
        <w:ind w:left="720" w:hanging="360"/>
      </w:pPr>
      <w:rPr>
        <w:rFonts w:ascii="Wingdings" w:hAnsi="Wingdings" w:cs="Times New Roman" w:hint="default"/>
        <w:b/>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1"/>
  </w:num>
  <w:num w:numId="6">
    <w:abstractNumId w:val="13"/>
  </w:num>
  <w:num w:numId="7">
    <w:abstractNumId w:val="7"/>
  </w:num>
  <w:num w:numId="8">
    <w:abstractNumId w:val="9"/>
  </w:num>
  <w:num w:numId="9">
    <w:abstractNumId w:val="1"/>
  </w:num>
  <w:num w:numId="10">
    <w:abstractNumId w:val="12"/>
  </w:num>
  <w:num w:numId="11">
    <w:abstractNumId w:val="4"/>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D7"/>
    <w:rsid w:val="000706B1"/>
    <w:rsid w:val="000C3B87"/>
    <w:rsid w:val="00131189"/>
    <w:rsid w:val="00143674"/>
    <w:rsid w:val="00193E9E"/>
    <w:rsid w:val="001B4C78"/>
    <w:rsid w:val="001F7FC4"/>
    <w:rsid w:val="00264876"/>
    <w:rsid w:val="00287A46"/>
    <w:rsid w:val="002C1412"/>
    <w:rsid w:val="00325709"/>
    <w:rsid w:val="00384EDB"/>
    <w:rsid w:val="004274B6"/>
    <w:rsid w:val="005153DF"/>
    <w:rsid w:val="00531AC1"/>
    <w:rsid w:val="005578F7"/>
    <w:rsid w:val="00566F58"/>
    <w:rsid w:val="0062025A"/>
    <w:rsid w:val="0062762F"/>
    <w:rsid w:val="00794C4B"/>
    <w:rsid w:val="007C0480"/>
    <w:rsid w:val="0084545A"/>
    <w:rsid w:val="008A7D0B"/>
    <w:rsid w:val="00AA1C79"/>
    <w:rsid w:val="00AB46D9"/>
    <w:rsid w:val="00B674D7"/>
    <w:rsid w:val="00C71CEA"/>
    <w:rsid w:val="00C74C4A"/>
    <w:rsid w:val="00CB4D6A"/>
    <w:rsid w:val="00CD46D9"/>
    <w:rsid w:val="00D56219"/>
    <w:rsid w:val="00DB2E15"/>
    <w:rsid w:val="00E7178D"/>
    <w:rsid w:val="00E82766"/>
    <w:rsid w:val="00EC443B"/>
    <w:rsid w:val="00ED4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C729"/>
  <w15:chartTrackingRefBased/>
  <w15:docId w15:val="{DFE1B075-23CF-41FA-BFC6-CD1FB9DB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D7"/>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4D7"/>
    <w:pPr>
      <w:ind w:left="720"/>
      <w:contextualSpacing/>
    </w:pPr>
  </w:style>
  <w:style w:type="paragraph" w:styleId="Corpsdetexte">
    <w:name w:val="Body Text"/>
    <w:basedOn w:val="Normal"/>
    <w:link w:val="CorpsdetexteCar"/>
    <w:uiPriority w:val="99"/>
    <w:rsid w:val="008A7D0B"/>
    <w:pPr>
      <w:keepLines/>
      <w:spacing w:before="120" w:after="0" w:line="240" w:lineRule="auto"/>
      <w:jc w:val="both"/>
    </w:pPr>
    <w:rPr>
      <w:rFonts w:ascii="Calibri" w:eastAsia="SimSun" w:hAnsi="Calibri" w:cs="Times New Roman"/>
      <w:sz w:val="21"/>
      <w:szCs w:val="20"/>
      <w:lang w:eastAsia="fr-FR"/>
    </w:rPr>
  </w:style>
  <w:style w:type="character" w:customStyle="1" w:styleId="CorpsdetexteCar">
    <w:name w:val="Corps de texte Car"/>
    <w:basedOn w:val="Policepardfaut"/>
    <w:link w:val="Corpsdetexte"/>
    <w:uiPriority w:val="99"/>
    <w:rsid w:val="008A7D0B"/>
    <w:rPr>
      <w:rFonts w:ascii="Calibri" w:eastAsia="SimSun" w:hAnsi="Calibri" w:cs="Times New Roman"/>
      <w:sz w:val="21"/>
      <w:szCs w:val="20"/>
      <w:lang w:eastAsia="fr-FR"/>
    </w:rPr>
  </w:style>
  <w:style w:type="table" w:styleId="Grilledutableau">
    <w:name w:val="Table Grid"/>
    <w:basedOn w:val="TableauNormal"/>
    <w:uiPriority w:val="39"/>
    <w:rsid w:val="00D5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64876"/>
    <w:rPr>
      <w:sz w:val="16"/>
      <w:szCs w:val="16"/>
    </w:rPr>
  </w:style>
  <w:style w:type="paragraph" w:styleId="Commentaire">
    <w:name w:val="annotation text"/>
    <w:basedOn w:val="Normal"/>
    <w:link w:val="CommentaireCar"/>
    <w:uiPriority w:val="99"/>
    <w:semiHidden/>
    <w:unhideWhenUsed/>
    <w:rsid w:val="00264876"/>
    <w:pPr>
      <w:spacing w:line="240" w:lineRule="auto"/>
    </w:pPr>
    <w:rPr>
      <w:sz w:val="20"/>
      <w:szCs w:val="20"/>
    </w:rPr>
  </w:style>
  <w:style w:type="character" w:customStyle="1" w:styleId="CommentaireCar">
    <w:name w:val="Commentaire Car"/>
    <w:basedOn w:val="Policepardfaut"/>
    <w:link w:val="Commentaire"/>
    <w:uiPriority w:val="99"/>
    <w:semiHidden/>
    <w:rsid w:val="00264876"/>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264876"/>
    <w:rPr>
      <w:b/>
      <w:bCs/>
    </w:rPr>
  </w:style>
  <w:style w:type="character" w:customStyle="1" w:styleId="ObjetducommentaireCar">
    <w:name w:val="Objet du commentaire Car"/>
    <w:basedOn w:val="CommentaireCar"/>
    <w:link w:val="Objetducommentaire"/>
    <w:uiPriority w:val="99"/>
    <w:semiHidden/>
    <w:rsid w:val="00264876"/>
    <w:rPr>
      <w:rFonts w:eastAsiaTheme="minorEastAsia"/>
      <w:b/>
      <w:bCs/>
      <w:sz w:val="20"/>
      <w:szCs w:val="20"/>
    </w:rPr>
  </w:style>
  <w:style w:type="paragraph" w:styleId="Textedebulles">
    <w:name w:val="Balloon Text"/>
    <w:basedOn w:val="Normal"/>
    <w:link w:val="TextedebullesCar"/>
    <w:uiPriority w:val="99"/>
    <w:semiHidden/>
    <w:unhideWhenUsed/>
    <w:rsid w:val="00264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4876"/>
    <w:rPr>
      <w:rFonts w:ascii="Segoe UI" w:eastAsiaTheme="minorEastAsia" w:hAnsi="Segoe UI" w:cs="Segoe UI"/>
      <w:sz w:val="18"/>
      <w:szCs w:val="18"/>
    </w:rPr>
  </w:style>
  <w:style w:type="paragraph" w:styleId="NormalWeb">
    <w:name w:val="Normal (Web)"/>
    <w:basedOn w:val="Normal"/>
    <w:uiPriority w:val="99"/>
    <w:semiHidden/>
    <w:unhideWhenUsed/>
    <w:rsid w:val="000706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706B1"/>
    <w:rPr>
      <w:color w:val="0000FF"/>
      <w:u w:val="single"/>
    </w:rPr>
  </w:style>
  <w:style w:type="paragraph" w:customStyle="1" w:styleId="Standard">
    <w:name w:val="Standard"/>
    <w:rsid w:val="001F7FC4"/>
    <w:pPr>
      <w:suppressAutoHyphens/>
      <w:autoSpaceDN w:val="0"/>
      <w:spacing w:line="240"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3004">
      <w:bodyDiv w:val="1"/>
      <w:marLeft w:val="0"/>
      <w:marRight w:val="0"/>
      <w:marTop w:val="0"/>
      <w:marBottom w:val="0"/>
      <w:divBdr>
        <w:top w:val="none" w:sz="0" w:space="0" w:color="auto"/>
        <w:left w:val="none" w:sz="0" w:space="0" w:color="auto"/>
        <w:bottom w:val="none" w:sz="0" w:space="0" w:color="auto"/>
        <w:right w:val="none" w:sz="0" w:space="0" w:color="auto"/>
      </w:divBdr>
    </w:div>
    <w:div w:id="362445298">
      <w:bodyDiv w:val="1"/>
      <w:marLeft w:val="0"/>
      <w:marRight w:val="0"/>
      <w:marTop w:val="0"/>
      <w:marBottom w:val="0"/>
      <w:divBdr>
        <w:top w:val="none" w:sz="0" w:space="0" w:color="auto"/>
        <w:left w:val="none" w:sz="0" w:space="0" w:color="auto"/>
        <w:bottom w:val="none" w:sz="0" w:space="0" w:color="auto"/>
        <w:right w:val="none" w:sz="0" w:space="0" w:color="auto"/>
      </w:divBdr>
    </w:div>
    <w:div w:id="712120353">
      <w:bodyDiv w:val="1"/>
      <w:marLeft w:val="0"/>
      <w:marRight w:val="0"/>
      <w:marTop w:val="0"/>
      <w:marBottom w:val="0"/>
      <w:divBdr>
        <w:top w:val="none" w:sz="0" w:space="0" w:color="auto"/>
        <w:left w:val="none" w:sz="0" w:space="0" w:color="auto"/>
        <w:bottom w:val="none" w:sz="0" w:space="0" w:color="auto"/>
        <w:right w:val="none" w:sz="0" w:space="0" w:color="auto"/>
      </w:divBdr>
      <w:divsChild>
        <w:div w:id="1161391477">
          <w:marLeft w:val="1166"/>
          <w:marRight w:val="0"/>
          <w:marTop w:val="0"/>
          <w:marBottom w:val="0"/>
          <w:divBdr>
            <w:top w:val="none" w:sz="0" w:space="0" w:color="auto"/>
            <w:left w:val="none" w:sz="0" w:space="0" w:color="auto"/>
            <w:bottom w:val="none" w:sz="0" w:space="0" w:color="auto"/>
            <w:right w:val="none" w:sz="0" w:space="0" w:color="auto"/>
          </w:divBdr>
        </w:div>
        <w:div w:id="823206834">
          <w:marLeft w:val="1166"/>
          <w:marRight w:val="0"/>
          <w:marTop w:val="0"/>
          <w:marBottom w:val="0"/>
          <w:divBdr>
            <w:top w:val="none" w:sz="0" w:space="0" w:color="auto"/>
            <w:left w:val="none" w:sz="0" w:space="0" w:color="auto"/>
            <w:bottom w:val="none" w:sz="0" w:space="0" w:color="auto"/>
            <w:right w:val="none" w:sz="0" w:space="0" w:color="auto"/>
          </w:divBdr>
        </w:div>
        <w:div w:id="771359772">
          <w:marLeft w:val="1166"/>
          <w:marRight w:val="0"/>
          <w:marTop w:val="0"/>
          <w:marBottom w:val="0"/>
          <w:divBdr>
            <w:top w:val="none" w:sz="0" w:space="0" w:color="auto"/>
            <w:left w:val="none" w:sz="0" w:space="0" w:color="auto"/>
            <w:bottom w:val="none" w:sz="0" w:space="0" w:color="auto"/>
            <w:right w:val="none" w:sz="0" w:space="0" w:color="auto"/>
          </w:divBdr>
        </w:div>
      </w:divsChild>
    </w:div>
    <w:div w:id="801268403">
      <w:bodyDiv w:val="1"/>
      <w:marLeft w:val="0"/>
      <w:marRight w:val="0"/>
      <w:marTop w:val="0"/>
      <w:marBottom w:val="0"/>
      <w:divBdr>
        <w:top w:val="none" w:sz="0" w:space="0" w:color="auto"/>
        <w:left w:val="none" w:sz="0" w:space="0" w:color="auto"/>
        <w:bottom w:val="none" w:sz="0" w:space="0" w:color="auto"/>
        <w:right w:val="none" w:sz="0" w:space="0" w:color="auto"/>
      </w:divBdr>
    </w:div>
    <w:div w:id="983584133">
      <w:bodyDiv w:val="1"/>
      <w:marLeft w:val="0"/>
      <w:marRight w:val="0"/>
      <w:marTop w:val="0"/>
      <w:marBottom w:val="0"/>
      <w:divBdr>
        <w:top w:val="none" w:sz="0" w:space="0" w:color="auto"/>
        <w:left w:val="none" w:sz="0" w:space="0" w:color="auto"/>
        <w:bottom w:val="none" w:sz="0" w:space="0" w:color="auto"/>
        <w:right w:val="none" w:sz="0" w:space="0" w:color="auto"/>
      </w:divBdr>
    </w:div>
    <w:div w:id="1067146308">
      <w:bodyDiv w:val="1"/>
      <w:marLeft w:val="0"/>
      <w:marRight w:val="0"/>
      <w:marTop w:val="0"/>
      <w:marBottom w:val="0"/>
      <w:divBdr>
        <w:top w:val="none" w:sz="0" w:space="0" w:color="auto"/>
        <w:left w:val="none" w:sz="0" w:space="0" w:color="auto"/>
        <w:bottom w:val="none" w:sz="0" w:space="0" w:color="auto"/>
        <w:right w:val="none" w:sz="0" w:space="0" w:color="auto"/>
      </w:divBdr>
      <w:divsChild>
        <w:div w:id="424418214">
          <w:marLeft w:val="446"/>
          <w:marRight w:val="0"/>
          <w:marTop w:val="0"/>
          <w:marBottom w:val="200"/>
          <w:divBdr>
            <w:top w:val="none" w:sz="0" w:space="0" w:color="auto"/>
            <w:left w:val="none" w:sz="0" w:space="0" w:color="auto"/>
            <w:bottom w:val="none" w:sz="0" w:space="0" w:color="auto"/>
            <w:right w:val="none" w:sz="0" w:space="0" w:color="auto"/>
          </w:divBdr>
        </w:div>
      </w:divsChild>
    </w:div>
    <w:div w:id="1235970334">
      <w:bodyDiv w:val="1"/>
      <w:marLeft w:val="0"/>
      <w:marRight w:val="0"/>
      <w:marTop w:val="0"/>
      <w:marBottom w:val="0"/>
      <w:divBdr>
        <w:top w:val="none" w:sz="0" w:space="0" w:color="auto"/>
        <w:left w:val="none" w:sz="0" w:space="0" w:color="auto"/>
        <w:bottom w:val="none" w:sz="0" w:space="0" w:color="auto"/>
        <w:right w:val="none" w:sz="0" w:space="0" w:color="auto"/>
      </w:divBdr>
    </w:div>
    <w:div w:id="1576822158">
      <w:bodyDiv w:val="1"/>
      <w:marLeft w:val="0"/>
      <w:marRight w:val="0"/>
      <w:marTop w:val="0"/>
      <w:marBottom w:val="0"/>
      <w:divBdr>
        <w:top w:val="none" w:sz="0" w:space="0" w:color="auto"/>
        <w:left w:val="none" w:sz="0" w:space="0" w:color="auto"/>
        <w:bottom w:val="none" w:sz="0" w:space="0" w:color="auto"/>
        <w:right w:val="none" w:sz="0" w:space="0" w:color="auto"/>
      </w:divBdr>
    </w:div>
    <w:div w:id="1655795758">
      <w:bodyDiv w:val="1"/>
      <w:marLeft w:val="0"/>
      <w:marRight w:val="0"/>
      <w:marTop w:val="0"/>
      <w:marBottom w:val="0"/>
      <w:divBdr>
        <w:top w:val="none" w:sz="0" w:space="0" w:color="auto"/>
        <w:left w:val="none" w:sz="0" w:space="0" w:color="auto"/>
        <w:bottom w:val="none" w:sz="0" w:space="0" w:color="auto"/>
        <w:right w:val="none" w:sz="0" w:space="0" w:color="auto"/>
      </w:divBdr>
    </w:div>
    <w:div w:id="1855923921">
      <w:bodyDiv w:val="1"/>
      <w:marLeft w:val="0"/>
      <w:marRight w:val="0"/>
      <w:marTop w:val="0"/>
      <w:marBottom w:val="0"/>
      <w:divBdr>
        <w:top w:val="none" w:sz="0" w:space="0" w:color="auto"/>
        <w:left w:val="none" w:sz="0" w:space="0" w:color="auto"/>
        <w:bottom w:val="none" w:sz="0" w:space="0" w:color="auto"/>
        <w:right w:val="none" w:sz="0" w:space="0" w:color="auto"/>
      </w:divBdr>
      <w:divsChild>
        <w:div w:id="723144024">
          <w:marLeft w:val="446"/>
          <w:marRight w:val="0"/>
          <w:marTop w:val="0"/>
          <w:marBottom w:val="0"/>
          <w:divBdr>
            <w:top w:val="none" w:sz="0" w:space="0" w:color="auto"/>
            <w:left w:val="none" w:sz="0" w:space="0" w:color="auto"/>
            <w:bottom w:val="none" w:sz="0" w:space="0" w:color="auto"/>
            <w:right w:val="none" w:sz="0" w:space="0" w:color="auto"/>
          </w:divBdr>
        </w:div>
        <w:div w:id="1918897412">
          <w:marLeft w:val="446"/>
          <w:marRight w:val="0"/>
          <w:marTop w:val="0"/>
          <w:marBottom w:val="0"/>
          <w:divBdr>
            <w:top w:val="none" w:sz="0" w:space="0" w:color="auto"/>
            <w:left w:val="none" w:sz="0" w:space="0" w:color="auto"/>
            <w:bottom w:val="none" w:sz="0" w:space="0" w:color="auto"/>
            <w:right w:val="none" w:sz="0" w:space="0" w:color="auto"/>
          </w:divBdr>
        </w:div>
        <w:div w:id="2115397351">
          <w:marLeft w:val="446"/>
          <w:marRight w:val="0"/>
          <w:marTop w:val="0"/>
          <w:marBottom w:val="0"/>
          <w:divBdr>
            <w:top w:val="none" w:sz="0" w:space="0" w:color="auto"/>
            <w:left w:val="none" w:sz="0" w:space="0" w:color="auto"/>
            <w:bottom w:val="none" w:sz="0" w:space="0" w:color="auto"/>
            <w:right w:val="none" w:sz="0" w:space="0" w:color="auto"/>
          </w:divBdr>
        </w:div>
        <w:div w:id="1647120789">
          <w:marLeft w:val="446"/>
          <w:marRight w:val="0"/>
          <w:marTop w:val="0"/>
          <w:marBottom w:val="0"/>
          <w:divBdr>
            <w:top w:val="none" w:sz="0" w:space="0" w:color="auto"/>
            <w:left w:val="none" w:sz="0" w:space="0" w:color="auto"/>
            <w:bottom w:val="none" w:sz="0" w:space="0" w:color="auto"/>
            <w:right w:val="none" w:sz="0" w:space="0" w:color="auto"/>
          </w:divBdr>
        </w:div>
        <w:div w:id="1893538327">
          <w:marLeft w:val="446"/>
          <w:marRight w:val="0"/>
          <w:marTop w:val="0"/>
          <w:marBottom w:val="0"/>
          <w:divBdr>
            <w:top w:val="none" w:sz="0" w:space="0" w:color="auto"/>
            <w:left w:val="none" w:sz="0" w:space="0" w:color="auto"/>
            <w:bottom w:val="none" w:sz="0" w:space="0" w:color="auto"/>
            <w:right w:val="none" w:sz="0" w:space="0" w:color="auto"/>
          </w:divBdr>
        </w:div>
      </w:divsChild>
    </w:div>
    <w:div w:id="1897233381">
      <w:bodyDiv w:val="1"/>
      <w:marLeft w:val="0"/>
      <w:marRight w:val="0"/>
      <w:marTop w:val="0"/>
      <w:marBottom w:val="0"/>
      <w:divBdr>
        <w:top w:val="none" w:sz="0" w:space="0" w:color="auto"/>
        <w:left w:val="none" w:sz="0" w:space="0" w:color="auto"/>
        <w:bottom w:val="none" w:sz="0" w:space="0" w:color="auto"/>
        <w:right w:val="none" w:sz="0" w:space="0" w:color="auto"/>
      </w:divBdr>
      <w:divsChild>
        <w:div w:id="163320359">
          <w:marLeft w:val="446"/>
          <w:marRight w:val="0"/>
          <w:marTop w:val="0"/>
          <w:marBottom w:val="0"/>
          <w:divBdr>
            <w:top w:val="none" w:sz="0" w:space="0" w:color="auto"/>
            <w:left w:val="none" w:sz="0" w:space="0" w:color="auto"/>
            <w:bottom w:val="none" w:sz="0" w:space="0" w:color="auto"/>
            <w:right w:val="none" w:sz="0" w:space="0" w:color="auto"/>
          </w:divBdr>
        </w:div>
      </w:divsChild>
    </w:div>
    <w:div w:id="1963882139">
      <w:bodyDiv w:val="1"/>
      <w:marLeft w:val="0"/>
      <w:marRight w:val="0"/>
      <w:marTop w:val="0"/>
      <w:marBottom w:val="0"/>
      <w:divBdr>
        <w:top w:val="none" w:sz="0" w:space="0" w:color="auto"/>
        <w:left w:val="none" w:sz="0" w:space="0" w:color="auto"/>
        <w:bottom w:val="none" w:sz="0" w:space="0" w:color="auto"/>
        <w:right w:val="none" w:sz="0" w:space="0" w:color="auto"/>
      </w:divBdr>
      <w:divsChild>
        <w:div w:id="1076897287">
          <w:marLeft w:val="446"/>
          <w:marRight w:val="0"/>
          <w:marTop w:val="0"/>
          <w:marBottom w:val="0"/>
          <w:divBdr>
            <w:top w:val="none" w:sz="0" w:space="0" w:color="auto"/>
            <w:left w:val="none" w:sz="0" w:space="0" w:color="auto"/>
            <w:bottom w:val="none" w:sz="0" w:space="0" w:color="auto"/>
            <w:right w:val="none" w:sz="0" w:space="0" w:color="auto"/>
          </w:divBdr>
        </w:div>
        <w:div w:id="62408434">
          <w:marLeft w:val="446"/>
          <w:marRight w:val="0"/>
          <w:marTop w:val="0"/>
          <w:marBottom w:val="0"/>
          <w:divBdr>
            <w:top w:val="none" w:sz="0" w:space="0" w:color="auto"/>
            <w:left w:val="none" w:sz="0" w:space="0" w:color="auto"/>
            <w:bottom w:val="none" w:sz="0" w:space="0" w:color="auto"/>
            <w:right w:val="none" w:sz="0" w:space="0" w:color="auto"/>
          </w:divBdr>
        </w:div>
        <w:div w:id="921529044">
          <w:marLeft w:val="446"/>
          <w:marRight w:val="0"/>
          <w:marTop w:val="0"/>
          <w:marBottom w:val="0"/>
          <w:divBdr>
            <w:top w:val="none" w:sz="0" w:space="0" w:color="auto"/>
            <w:left w:val="none" w:sz="0" w:space="0" w:color="auto"/>
            <w:bottom w:val="none" w:sz="0" w:space="0" w:color="auto"/>
            <w:right w:val="none" w:sz="0" w:space="0" w:color="auto"/>
          </w:divBdr>
        </w:div>
        <w:div w:id="6744560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S-infoCSS@sante.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FB2A-ECD6-431E-8E45-996B6778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9838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Ministères Sociaux</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DELAUNOIS, Lucile (DSS/ASPFAT/2A)</dc:creator>
  <cp:keywords/>
  <dc:description/>
  <cp:lastModifiedBy>DELAUNOIS, Lucile (DSS/ASPFAT/2A)</cp:lastModifiedBy>
  <cp:revision>2</cp:revision>
  <dcterms:created xsi:type="dcterms:W3CDTF">2022-02-21T11:02:00Z</dcterms:created>
  <dcterms:modified xsi:type="dcterms:W3CDTF">2022-02-21T11:02:00Z</dcterms:modified>
</cp:coreProperties>
</file>