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BB0F9" w14:textId="77777777" w:rsidR="00461712" w:rsidRPr="00E353D2" w:rsidRDefault="00461712" w:rsidP="00461712">
      <w:pPr>
        <w:jc w:val="center"/>
        <w:rPr>
          <w:b/>
          <w:color w:val="4472C4" w:themeColor="accent5"/>
        </w:rPr>
      </w:pPr>
      <w:r w:rsidRPr="00E353D2">
        <w:rPr>
          <w:b/>
          <w:color w:val="4472C4" w:themeColor="accent5"/>
          <w:u w:val="single"/>
        </w:rPr>
        <w:t>Modalités opérationnelles</w:t>
      </w:r>
      <w:r w:rsidRPr="00E353D2">
        <w:rPr>
          <w:b/>
          <w:color w:val="4472C4" w:themeColor="accent5"/>
        </w:rPr>
        <w:t xml:space="preserve"> – Mise en place du décret simplifiant l’accès à la protection complémentaire en matière de santé prévue à l’article L.861-1 du code de la sécurité sociale</w:t>
      </w:r>
    </w:p>
    <w:p w14:paraId="6BB0FB59" w14:textId="77777777" w:rsidR="0096538E" w:rsidRDefault="0096538E"/>
    <w:p w14:paraId="7FA77CB0" w14:textId="6E6A8FB4" w:rsidR="00114B1F" w:rsidRDefault="006D17FC" w:rsidP="00114B1F">
      <w:pPr>
        <w:pBdr>
          <w:bottom w:val="single" w:sz="6" w:space="1" w:color="auto"/>
        </w:pBdr>
        <w:rPr>
          <w:b/>
          <w:sz w:val="24"/>
          <w:lang w:val="en-US"/>
        </w:rPr>
      </w:pPr>
      <w:r w:rsidRPr="00114B1F">
        <w:rPr>
          <w:b/>
          <w:sz w:val="24"/>
        </w:rPr>
        <w:t>Autoriser la souscription d’un contrat de complémentaire santé solidaire au bénéfice des seuls ayant</w:t>
      </w:r>
      <w:r w:rsidR="00C73469">
        <w:rPr>
          <w:b/>
          <w:sz w:val="24"/>
        </w:rPr>
        <w:t xml:space="preserve">s </w:t>
      </w:r>
      <w:r w:rsidRPr="00114B1F">
        <w:rPr>
          <w:b/>
          <w:sz w:val="24"/>
        </w:rPr>
        <w:t>droit du foyer</w:t>
      </w:r>
      <w:r w:rsidR="00114B1F">
        <w:rPr>
          <w:b/>
          <w:sz w:val="24"/>
        </w:rPr>
        <w:t xml:space="preserve"> </w:t>
      </w:r>
      <w:r w:rsidR="005A6160" w:rsidRPr="00114B1F">
        <w:rPr>
          <w:b/>
          <w:sz w:val="24"/>
        </w:rPr>
        <w:t>(</w:t>
      </w:r>
      <w:r w:rsidR="005A6160" w:rsidRPr="00114B1F">
        <w:rPr>
          <w:b/>
          <w:i/>
          <w:iCs/>
          <w:sz w:val="24"/>
        </w:rPr>
        <w:t xml:space="preserve">Article </w:t>
      </w:r>
      <w:r w:rsidR="005A6160" w:rsidRPr="00114B1F">
        <w:rPr>
          <w:b/>
          <w:i/>
          <w:iCs/>
          <w:sz w:val="24"/>
          <w:lang w:val="en-US"/>
        </w:rPr>
        <w:t>R.861-16-3 du CSS</w:t>
      </w:r>
      <w:r w:rsidR="00114B1F">
        <w:rPr>
          <w:b/>
          <w:sz w:val="24"/>
          <w:lang w:val="en-US"/>
        </w:rPr>
        <w:t>)</w:t>
      </w:r>
    </w:p>
    <w:p w14:paraId="576779C7" w14:textId="5DD70AF3" w:rsidR="00114B1F" w:rsidRPr="00114B1F" w:rsidRDefault="00114B1F" w:rsidP="00114B1F">
      <w:pPr>
        <w:jc w:val="both"/>
        <w:rPr>
          <w:b/>
          <w:sz w:val="20"/>
        </w:rPr>
      </w:pPr>
      <w:r w:rsidRPr="00114B1F">
        <w:rPr>
          <w:i/>
          <w:sz w:val="20"/>
        </w:rPr>
        <w:t xml:space="preserve">Le décret formalise la possibilité, lors de l’attribution d’un droit moyennant paiement de participations financières, de ne </w:t>
      </w:r>
      <w:r w:rsidRPr="00114B1F">
        <w:rPr>
          <w:bCs/>
          <w:i/>
          <w:sz w:val="20"/>
        </w:rPr>
        <w:t>faire bénéficier qu’une partie des membres du foyer</w:t>
      </w:r>
      <w:r w:rsidRPr="00114B1F">
        <w:rPr>
          <w:i/>
          <w:sz w:val="20"/>
        </w:rPr>
        <w:t xml:space="preserve"> dans le cas où </w:t>
      </w:r>
      <w:r w:rsidR="005232E6">
        <w:rPr>
          <w:i/>
          <w:sz w:val="20"/>
        </w:rPr>
        <w:t>le demandeur</w:t>
      </w:r>
      <w:r w:rsidR="005232E6" w:rsidRPr="00114B1F">
        <w:rPr>
          <w:i/>
          <w:sz w:val="20"/>
        </w:rPr>
        <w:t xml:space="preserve"> </w:t>
      </w:r>
      <w:r w:rsidRPr="00114B1F">
        <w:rPr>
          <w:i/>
          <w:sz w:val="20"/>
        </w:rPr>
        <w:t>en formulerait expressément la demande lors du renvoi du bulletin d’adhésion ou du contrat.</w:t>
      </w:r>
    </w:p>
    <w:p w14:paraId="37B79B4A" w14:textId="21280DB4" w:rsidR="00114B1F" w:rsidRPr="00114B1F" w:rsidRDefault="00114B1F" w:rsidP="00114B1F">
      <w:pPr>
        <w:jc w:val="both"/>
        <w:rPr>
          <w:i/>
          <w:sz w:val="20"/>
        </w:rPr>
      </w:pPr>
      <w:r w:rsidRPr="00114B1F">
        <w:rPr>
          <w:i/>
          <w:sz w:val="20"/>
        </w:rPr>
        <w:t xml:space="preserve">Cette disposition permet notamment aux mineurs de bénéficier de la </w:t>
      </w:r>
      <w:r w:rsidR="00576681">
        <w:rPr>
          <w:i/>
          <w:sz w:val="20"/>
        </w:rPr>
        <w:t>c</w:t>
      </w:r>
      <w:r w:rsidRPr="00114B1F">
        <w:rPr>
          <w:i/>
          <w:sz w:val="20"/>
        </w:rPr>
        <w:t>omplémentaire santé solidaire, même si leurs représentants légaux appartenant au même foyer décident de ne pas en bénéficier.  </w:t>
      </w:r>
      <w:r w:rsidRPr="00114B1F">
        <w:rPr>
          <w:bCs/>
          <w:i/>
          <w:sz w:val="20"/>
        </w:rPr>
        <w:t>Ils s’acquittent du montant des participations financières se rapportant aux mineurs concernés.</w:t>
      </w:r>
    </w:p>
    <w:tbl>
      <w:tblPr>
        <w:tblStyle w:val="Grilledutableau"/>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9042"/>
      </w:tblGrid>
      <w:tr w:rsidR="00F53EB4" w14:paraId="20AD975C" w14:textId="77777777" w:rsidTr="00317EAA">
        <w:tc>
          <w:tcPr>
            <w:tcW w:w="9042" w:type="dxa"/>
          </w:tcPr>
          <w:p w14:paraId="33B422FA" w14:textId="77777777" w:rsidR="00F53EB4" w:rsidRPr="00317EAA" w:rsidRDefault="00F53EB4" w:rsidP="00F53EB4">
            <w:pPr>
              <w:jc w:val="center"/>
              <w:rPr>
                <w:b/>
                <w:color w:val="2E74B5" w:themeColor="accent1" w:themeShade="BF"/>
                <w:u w:val="single"/>
              </w:rPr>
            </w:pPr>
            <w:r w:rsidRPr="00317EAA">
              <w:rPr>
                <w:b/>
                <w:color w:val="2E74B5" w:themeColor="accent1" w:themeShade="BF"/>
                <w:u w:val="single"/>
              </w:rPr>
              <w:t>Modifications </w:t>
            </w:r>
            <w:r>
              <w:rPr>
                <w:b/>
                <w:color w:val="2E74B5" w:themeColor="accent1" w:themeShade="BF"/>
                <w:u w:val="single"/>
              </w:rPr>
              <w:t>dans le décret</w:t>
            </w:r>
          </w:p>
          <w:p w14:paraId="16282ED9" w14:textId="07CFD3B2" w:rsidR="004770DE" w:rsidRPr="004770DE" w:rsidRDefault="004770DE" w:rsidP="004770DE">
            <w:pPr>
              <w:spacing w:after="160" w:line="259" w:lineRule="auto"/>
              <w:jc w:val="both"/>
              <w:rPr>
                <w:i/>
                <w:sz w:val="20"/>
              </w:rPr>
            </w:pPr>
            <w:r w:rsidRPr="004770DE">
              <w:rPr>
                <w:i/>
                <w:sz w:val="20"/>
              </w:rPr>
              <w:t>8° L’article R. 861-16-3 est complété par un alinéa ainsi rédigé :</w:t>
            </w:r>
          </w:p>
          <w:p w14:paraId="27E1E8D2" w14:textId="53BAC0B2" w:rsidR="00F53EB4" w:rsidRPr="004770DE" w:rsidRDefault="004770DE" w:rsidP="004770DE">
            <w:pPr>
              <w:spacing w:after="160" w:line="259" w:lineRule="auto"/>
              <w:jc w:val="both"/>
              <w:rPr>
                <w:i/>
                <w:sz w:val="20"/>
              </w:rPr>
            </w:pPr>
            <w:r w:rsidRPr="004770DE">
              <w:rPr>
                <w:i/>
                <w:sz w:val="20"/>
              </w:rPr>
              <w:t xml:space="preserve">« Lors de l’envoi des documents mentionnés à l’article R. 861-16-2, l’auteur de la demande peut faire valoir, auprès de l’organisme gestionnaire, le bénéfice du droit pour tout ou partie des membres </w:t>
            </w:r>
            <w:proofErr w:type="gramStart"/>
            <w:r w:rsidRPr="004770DE">
              <w:rPr>
                <w:i/>
                <w:sz w:val="20"/>
              </w:rPr>
              <w:t>du foyer mentionnés</w:t>
            </w:r>
            <w:proofErr w:type="gramEnd"/>
            <w:r w:rsidRPr="004770DE">
              <w:rPr>
                <w:i/>
                <w:sz w:val="20"/>
              </w:rPr>
              <w:t xml:space="preserve"> aux 1°, 2° et 3° de l’article R. 861-2. » ;</w:t>
            </w:r>
          </w:p>
        </w:tc>
      </w:tr>
      <w:tr w:rsidR="00114B1F" w14:paraId="663E6B02" w14:textId="77777777" w:rsidTr="00317EAA">
        <w:tc>
          <w:tcPr>
            <w:tcW w:w="9042" w:type="dxa"/>
          </w:tcPr>
          <w:p w14:paraId="19CD311D" w14:textId="77777777" w:rsidR="00114B1F" w:rsidRDefault="00114B1F" w:rsidP="00114B1F">
            <w:pPr>
              <w:rPr>
                <w:b/>
              </w:rPr>
            </w:pPr>
          </w:p>
          <w:p w14:paraId="6FE1E718" w14:textId="77777777" w:rsidR="00114B1F" w:rsidRPr="00114B1F" w:rsidRDefault="00114B1F" w:rsidP="00114B1F">
            <w:pPr>
              <w:jc w:val="center"/>
              <w:rPr>
                <w:b/>
                <w:color w:val="2E74B5" w:themeColor="accent1" w:themeShade="BF"/>
                <w:u w:val="single"/>
              </w:rPr>
            </w:pPr>
            <w:r w:rsidRPr="00114B1F">
              <w:rPr>
                <w:b/>
                <w:color w:val="2E74B5" w:themeColor="accent1" w:themeShade="BF"/>
                <w:u w:val="single"/>
              </w:rPr>
              <w:t>Modalités opérationnelles</w:t>
            </w:r>
          </w:p>
          <w:p w14:paraId="3299B4F6" w14:textId="77777777" w:rsidR="00317EAA" w:rsidRDefault="00317EAA" w:rsidP="00317EAA">
            <w:pPr>
              <w:jc w:val="both"/>
              <w:rPr>
                <w:color w:val="FF0000"/>
              </w:rPr>
            </w:pPr>
          </w:p>
          <w:p w14:paraId="0062F001" w14:textId="6F0822E6" w:rsidR="000E18CD" w:rsidRPr="006B3211" w:rsidRDefault="005232E6" w:rsidP="00317EAA">
            <w:pPr>
              <w:jc w:val="both"/>
              <w:rPr>
                <w:b/>
                <w:color w:val="000000" w:themeColor="text1"/>
              </w:rPr>
            </w:pPr>
            <w:r w:rsidRPr="009E13F7">
              <w:rPr>
                <w:color w:val="000000" w:themeColor="text1"/>
              </w:rPr>
              <w:t xml:space="preserve">La possibilité d’ouvrir un contrat de complémentaire santé solidaire au bénéfice des seuls </w:t>
            </w:r>
            <w:r w:rsidR="00ED0E13" w:rsidRPr="009E13F7">
              <w:rPr>
                <w:color w:val="000000" w:themeColor="text1"/>
              </w:rPr>
              <w:t>ayant</w:t>
            </w:r>
            <w:r w:rsidR="00ED0E13">
              <w:rPr>
                <w:color w:val="000000" w:themeColor="text1"/>
              </w:rPr>
              <w:t>s</w:t>
            </w:r>
            <w:r w:rsidR="00ED0E13" w:rsidRPr="009E13F7">
              <w:rPr>
                <w:color w:val="000000" w:themeColor="text1"/>
              </w:rPr>
              <w:t xml:space="preserve"> droit</w:t>
            </w:r>
            <w:r w:rsidR="00ED0E13">
              <w:rPr>
                <w:color w:val="000000" w:themeColor="text1"/>
              </w:rPr>
              <w:t xml:space="preserve"> </w:t>
            </w:r>
            <w:r w:rsidRPr="009E13F7">
              <w:rPr>
                <w:color w:val="000000" w:themeColor="text1"/>
              </w:rPr>
              <w:t xml:space="preserve">du foyer </w:t>
            </w:r>
            <w:r>
              <w:rPr>
                <w:b/>
                <w:color w:val="000000" w:themeColor="text1"/>
              </w:rPr>
              <w:t>intervient</w:t>
            </w:r>
            <w:r w:rsidRPr="009E13F7">
              <w:rPr>
                <w:b/>
                <w:color w:val="000000" w:themeColor="text1"/>
              </w:rPr>
              <w:t xml:space="preserve"> au moment du renvoi à l’organisme gestionnaire du bulletin d’adhésion et du mandat de prélèvement</w:t>
            </w:r>
            <w:r w:rsidRPr="009E13F7">
              <w:rPr>
                <w:color w:val="000000" w:themeColor="text1"/>
              </w:rPr>
              <w:t xml:space="preserve"> (cf. rédaction du décret : « Dans le cas où il en formulerait expressément la demande lors de l’envoi des documents mentionnés à l’article R. 861-16-2… »). </w:t>
            </w:r>
          </w:p>
          <w:p w14:paraId="263E1AC1" w14:textId="77777777" w:rsidR="00317EAA" w:rsidRDefault="00317EAA" w:rsidP="00114B1F">
            <w:pPr>
              <w:jc w:val="both"/>
            </w:pPr>
          </w:p>
          <w:p w14:paraId="486B8173" w14:textId="3F1CB86C" w:rsidR="00114B1F" w:rsidRPr="00A52BC2" w:rsidRDefault="00114B1F" w:rsidP="00114B1F">
            <w:pPr>
              <w:jc w:val="both"/>
            </w:pPr>
            <w:r w:rsidRPr="00A52BC2">
              <w:t xml:space="preserve">Le bénéficiaire </w:t>
            </w:r>
            <w:r w:rsidRPr="00114B1F">
              <w:rPr>
                <w:b/>
              </w:rPr>
              <w:t>informe son organisme gestionnaire du souhait de ne pas être couvert par la complémentaire santé solidaire</w:t>
            </w:r>
            <w:r>
              <w:t>, mais souhaite que ses ayant</w:t>
            </w:r>
            <w:r w:rsidR="00C73469">
              <w:t xml:space="preserve">s </w:t>
            </w:r>
            <w:r>
              <w:t xml:space="preserve">droit le soient, en </w:t>
            </w:r>
            <w:r w:rsidRPr="00C721ED">
              <w:rPr>
                <w:b/>
              </w:rPr>
              <w:t>barrant son nom sur le bulletin d’adhésion</w:t>
            </w:r>
            <w:r>
              <w:t xml:space="preserve"> renvoyé à l’organisme gestionnaire.</w:t>
            </w:r>
          </w:p>
          <w:p w14:paraId="5F51EAD2" w14:textId="77777777" w:rsidR="00114B1F" w:rsidRPr="006B3211" w:rsidRDefault="00114B1F" w:rsidP="00114B1F">
            <w:pPr>
              <w:pStyle w:val="Paragraphedeliste"/>
              <w:jc w:val="both"/>
              <w:rPr>
                <w:color w:val="000000" w:themeColor="text1"/>
              </w:rPr>
            </w:pPr>
          </w:p>
          <w:p w14:paraId="6E85ED01" w14:textId="6B0027C2" w:rsidR="00317EAA" w:rsidRPr="006B3211" w:rsidRDefault="00317EAA" w:rsidP="00114B1F">
            <w:pPr>
              <w:jc w:val="both"/>
              <w:rPr>
                <w:color w:val="000000" w:themeColor="text1"/>
              </w:rPr>
            </w:pPr>
            <w:r w:rsidRPr="006B3211">
              <w:rPr>
                <w:color w:val="000000" w:themeColor="text1"/>
              </w:rPr>
              <w:t>Si le demandeur (bénéficiaire principal), ne souhaite pas être couvert, deux cas sont possibles :</w:t>
            </w:r>
          </w:p>
          <w:p w14:paraId="64AA7685" w14:textId="0DD40193" w:rsidR="00114B1F" w:rsidRPr="006B3211" w:rsidRDefault="00317EAA" w:rsidP="00317EAA">
            <w:pPr>
              <w:pStyle w:val="Paragraphedeliste"/>
              <w:numPr>
                <w:ilvl w:val="0"/>
                <w:numId w:val="9"/>
              </w:numPr>
              <w:jc w:val="both"/>
              <w:rPr>
                <w:color w:val="000000" w:themeColor="text1"/>
              </w:rPr>
            </w:pPr>
            <w:r w:rsidRPr="006B3211">
              <w:rPr>
                <w:color w:val="000000" w:themeColor="text1"/>
              </w:rPr>
              <w:t>S’il ne reste que des ayant</w:t>
            </w:r>
            <w:r w:rsidR="006264CD" w:rsidRPr="006B3211">
              <w:rPr>
                <w:color w:val="000000" w:themeColor="text1"/>
              </w:rPr>
              <w:t xml:space="preserve">s </w:t>
            </w:r>
            <w:r w:rsidRPr="006B3211">
              <w:rPr>
                <w:color w:val="000000" w:themeColor="text1"/>
              </w:rPr>
              <w:t xml:space="preserve">droit mineurs : seuls les mineurs figurent sur le contrat. Ce sont les coordonnées du tuteur légal des mineurs qui doivent être retenues. </w:t>
            </w:r>
          </w:p>
          <w:p w14:paraId="4EB32680" w14:textId="6BC787E0" w:rsidR="00CE2986" w:rsidRPr="006B3211" w:rsidRDefault="00317EAA" w:rsidP="00114B1F">
            <w:pPr>
              <w:pStyle w:val="Paragraphedeliste"/>
              <w:numPr>
                <w:ilvl w:val="0"/>
                <w:numId w:val="9"/>
              </w:numPr>
              <w:jc w:val="both"/>
              <w:rPr>
                <w:color w:val="000000" w:themeColor="text1"/>
              </w:rPr>
            </w:pPr>
            <w:r w:rsidRPr="006B3211">
              <w:rPr>
                <w:color w:val="000000" w:themeColor="text1"/>
              </w:rPr>
              <w:t>S’il reste un ayant</w:t>
            </w:r>
            <w:r w:rsidR="006264CD" w:rsidRPr="006B3211">
              <w:rPr>
                <w:color w:val="000000" w:themeColor="text1"/>
              </w:rPr>
              <w:t xml:space="preserve"> </w:t>
            </w:r>
            <w:r w:rsidRPr="006B3211">
              <w:rPr>
                <w:color w:val="000000" w:themeColor="text1"/>
              </w:rPr>
              <w:t>droit majeur sur le contrat : c’est l’ayant droit majeur qui devient titulaire du contrat (il devient donc le bénéficiaire principal).</w:t>
            </w:r>
            <w:r w:rsidR="003E2991">
              <w:rPr>
                <w:color w:val="000000" w:themeColor="text1"/>
              </w:rPr>
              <w:t xml:space="preserve"> </w:t>
            </w:r>
          </w:p>
          <w:p w14:paraId="214CDAA1" w14:textId="77777777" w:rsidR="00CE2986" w:rsidRPr="006B3211" w:rsidRDefault="00CE2986" w:rsidP="00114B1F">
            <w:pPr>
              <w:jc w:val="both"/>
              <w:rPr>
                <w:color w:val="000000" w:themeColor="text1"/>
              </w:rPr>
            </w:pPr>
          </w:p>
          <w:p w14:paraId="418BD399" w14:textId="77777777" w:rsidR="00114B1F" w:rsidRPr="00114B1F" w:rsidRDefault="00114B1F" w:rsidP="00114B1F">
            <w:pPr>
              <w:jc w:val="both"/>
              <w:rPr>
                <w:b/>
              </w:rPr>
            </w:pPr>
            <w:r w:rsidRPr="00114B1F">
              <w:rPr>
                <w:b/>
              </w:rPr>
              <w:t>Cette règle s’appliquera à compter du 1</w:t>
            </w:r>
            <w:r w:rsidRPr="00114B1F">
              <w:rPr>
                <w:b/>
                <w:vertAlign w:val="superscript"/>
              </w:rPr>
              <w:t>er</w:t>
            </w:r>
            <w:r w:rsidRPr="00114B1F">
              <w:rPr>
                <w:b/>
              </w:rPr>
              <w:t xml:space="preserve"> janvier 2022.</w:t>
            </w:r>
          </w:p>
          <w:p w14:paraId="2C417551" w14:textId="77777777" w:rsidR="00114B1F" w:rsidRPr="00114B1F" w:rsidRDefault="00114B1F" w:rsidP="00DB2AD0">
            <w:pPr>
              <w:jc w:val="both"/>
            </w:pPr>
          </w:p>
        </w:tc>
      </w:tr>
    </w:tbl>
    <w:p w14:paraId="0E682C67" w14:textId="77777777" w:rsidR="00317EAA" w:rsidRDefault="00317EAA" w:rsidP="00317EAA">
      <w:pPr>
        <w:rPr>
          <w:b/>
        </w:rPr>
      </w:pPr>
    </w:p>
    <w:p w14:paraId="1429965E" w14:textId="5C2BBC1F" w:rsidR="005C7851" w:rsidRDefault="005A6160" w:rsidP="00114B1F">
      <w:pPr>
        <w:pBdr>
          <w:bottom w:val="single" w:sz="6" w:space="1" w:color="auto"/>
        </w:pBdr>
        <w:tabs>
          <w:tab w:val="num" w:pos="720"/>
        </w:tabs>
        <w:rPr>
          <w:b/>
          <w:sz w:val="24"/>
        </w:rPr>
      </w:pPr>
      <w:r w:rsidRPr="00114B1F">
        <w:rPr>
          <w:b/>
          <w:sz w:val="24"/>
        </w:rPr>
        <w:t xml:space="preserve">Décès du bénéficiaire et devenir </w:t>
      </w:r>
      <w:r w:rsidR="00D02BC8" w:rsidRPr="00114B1F">
        <w:rPr>
          <w:b/>
          <w:sz w:val="24"/>
        </w:rPr>
        <w:t xml:space="preserve">des </w:t>
      </w:r>
      <w:r w:rsidR="00D02BC8">
        <w:rPr>
          <w:b/>
          <w:sz w:val="24"/>
        </w:rPr>
        <w:t>autres</w:t>
      </w:r>
      <w:r w:rsidR="00556EAD">
        <w:rPr>
          <w:b/>
          <w:sz w:val="24"/>
        </w:rPr>
        <w:t xml:space="preserve"> membres du foyer</w:t>
      </w:r>
      <w:r w:rsidRPr="00114B1F">
        <w:rPr>
          <w:b/>
          <w:sz w:val="24"/>
        </w:rPr>
        <w:t xml:space="preserve"> (Article R. 861-16-5 du CSS</w:t>
      </w:r>
      <w:r w:rsidR="00114B1F">
        <w:rPr>
          <w:b/>
          <w:sz w:val="24"/>
        </w:rPr>
        <w:t>)</w:t>
      </w:r>
    </w:p>
    <w:p w14:paraId="1A7A4ED2" w14:textId="37881234" w:rsidR="00114B1F" w:rsidRPr="00114B1F" w:rsidRDefault="00114B1F" w:rsidP="00114B1F">
      <w:pPr>
        <w:jc w:val="both"/>
        <w:rPr>
          <w:i/>
          <w:sz w:val="20"/>
        </w:rPr>
      </w:pPr>
      <w:r w:rsidRPr="00114B1F">
        <w:rPr>
          <w:i/>
          <w:sz w:val="20"/>
        </w:rPr>
        <w:t xml:space="preserve">Le décret vise aussi à clarifier la situation </w:t>
      </w:r>
      <w:r w:rsidR="00D02BC8" w:rsidRPr="00114B1F">
        <w:rPr>
          <w:i/>
          <w:sz w:val="20"/>
        </w:rPr>
        <w:t xml:space="preserve">des </w:t>
      </w:r>
      <w:r w:rsidR="00D02BC8">
        <w:rPr>
          <w:i/>
          <w:sz w:val="20"/>
        </w:rPr>
        <w:t>autres</w:t>
      </w:r>
      <w:r w:rsidR="00556EAD">
        <w:rPr>
          <w:i/>
          <w:sz w:val="20"/>
        </w:rPr>
        <w:t xml:space="preserve"> membres du foyer</w:t>
      </w:r>
      <w:r w:rsidRPr="00114B1F">
        <w:rPr>
          <w:i/>
          <w:sz w:val="20"/>
        </w:rPr>
        <w:t xml:space="preserve"> lors du décès du bénéficiaire de la complémentaire santé solidaire. </w:t>
      </w:r>
      <w:r w:rsidR="00576681">
        <w:rPr>
          <w:i/>
          <w:sz w:val="20"/>
        </w:rPr>
        <w:t>L</w:t>
      </w:r>
      <w:r w:rsidRPr="00114B1F">
        <w:rPr>
          <w:i/>
          <w:sz w:val="20"/>
        </w:rPr>
        <w:t>’article R. 861-16-5 du code de la sécurité sociale dispose</w:t>
      </w:r>
      <w:r w:rsidR="00970331">
        <w:rPr>
          <w:i/>
          <w:sz w:val="20"/>
        </w:rPr>
        <w:t xml:space="preserve"> dans sa rédaction initiale</w:t>
      </w:r>
      <w:r w:rsidRPr="00114B1F">
        <w:rPr>
          <w:i/>
          <w:sz w:val="20"/>
        </w:rPr>
        <w:t xml:space="preserve"> que lorsque le bénéficiaire du droit à la </w:t>
      </w:r>
      <w:r w:rsidR="00970331">
        <w:rPr>
          <w:i/>
          <w:sz w:val="20"/>
        </w:rPr>
        <w:t>complémentaire santé solidaire</w:t>
      </w:r>
      <w:r w:rsidRPr="00114B1F">
        <w:rPr>
          <w:i/>
          <w:sz w:val="20"/>
        </w:rPr>
        <w:t xml:space="preserve"> décède, l’organisme gestionnaire du contrat met fin au bénéfice de </w:t>
      </w:r>
      <w:r w:rsidR="00970331">
        <w:rPr>
          <w:i/>
          <w:sz w:val="20"/>
        </w:rPr>
        <w:t xml:space="preserve">cette protection </w:t>
      </w:r>
      <w:r w:rsidRPr="00114B1F">
        <w:rPr>
          <w:i/>
          <w:sz w:val="20"/>
        </w:rPr>
        <w:t>et au prélèvement de la participation financière de l’intéressé pour les échéances postérieures à la date de décès.</w:t>
      </w:r>
    </w:p>
    <w:p w14:paraId="612E8A61" w14:textId="7A2F1528" w:rsidR="00114B1F" w:rsidRPr="00114B1F" w:rsidRDefault="00114B1F" w:rsidP="00114B1F">
      <w:pPr>
        <w:jc w:val="both"/>
        <w:rPr>
          <w:i/>
          <w:sz w:val="20"/>
        </w:rPr>
      </w:pPr>
      <w:r w:rsidRPr="00114B1F">
        <w:rPr>
          <w:i/>
          <w:sz w:val="20"/>
        </w:rPr>
        <w:t xml:space="preserve">Afin d’éviter toute rupture de droit, cet article est modifié afin de </w:t>
      </w:r>
      <w:r w:rsidR="00970331" w:rsidRPr="00114B1F">
        <w:rPr>
          <w:i/>
          <w:sz w:val="20"/>
        </w:rPr>
        <w:t>pr</w:t>
      </w:r>
      <w:r w:rsidR="00970331">
        <w:rPr>
          <w:i/>
          <w:sz w:val="20"/>
        </w:rPr>
        <w:t xml:space="preserve">éciser </w:t>
      </w:r>
      <w:r w:rsidRPr="00114B1F">
        <w:rPr>
          <w:i/>
          <w:sz w:val="20"/>
        </w:rPr>
        <w:t xml:space="preserve">qu’en cas de décès du bénéficiaire, </w:t>
      </w:r>
      <w:r w:rsidR="00D02BC8" w:rsidRPr="00114B1F">
        <w:rPr>
          <w:b/>
          <w:i/>
          <w:sz w:val="20"/>
        </w:rPr>
        <w:t xml:space="preserve">les </w:t>
      </w:r>
      <w:r w:rsidR="00D02BC8">
        <w:rPr>
          <w:b/>
          <w:i/>
          <w:sz w:val="20"/>
        </w:rPr>
        <w:t>autres</w:t>
      </w:r>
      <w:r w:rsidR="00556EAD">
        <w:rPr>
          <w:b/>
          <w:i/>
          <w:sz w:val="20"/>
        </w:rPr>
        <w:t xml:space="preserve"> membres du foyer</w:t>
      </w:r>
      <w:r w:rsidRPr="00114B1F">
        <w:rPr>
          <w:b/>
          <w:i/>
          <w:sz w:val="20"/>
        </w:rPr>
        <w:t xml:space="preserve"> mineurs et majeurs continuent de bénéficier de cette protection jusqu’à l’expiration </w:t>
      </w:r>
      <w:r w:rsidRPr="00114B1F">
        <w:rPr>
          <w:b/>
          <w:i/>
          <w:sz w:val="20"/>
        </w:rPr>
        <w:lastRenderedPageBreak/>
        <w:t>du droit initial du bénéficiaire décédé, en s’acquittant des participations prévues au titre de leur droit, sauf si ceux-ci s’y opposent expressément.</w:t>
      </w:r>
    </w:p>
    <w:tbl>
      <w:tblPr>
        <w:tblStyle w:val="Grilledutableau"/>
        <w:tblW w:w="9085" w:type="dxa"/>
        <w:tbl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blBorders>
        <w:tblLook w:val="04A0" w:firstRow="1" w:lastRow="0" w:firstColumn="1" w:lastColumn="0" w:noHBand="0" w:noVBand="1"/>
      </w:tblPr>
      <w:tblGrid>
        <w:gridCol w:w="9085"/>
      </w:tblGrid>
      <w:tr w:rsidR="00F53EB4" w14:paraId="748C06D0" w14:textId="77777777" w:rsidTr="00DB2AD0">
        <w:trPr>
          <w:trHeight w:val="1605"/>
        </w:trPr>
        <w:tc>
          <w:tcPr>
            <w:tcW w:w="9085" w:type="dxa"/>
          </w:tcPr>
          <w:p w14:paraId="4E52732F" w14:textId="77777777" w:rsidR="00F53EB4" w:rsidRPr="00317EAA" w:rsidRDefault="00F53EB4" w:rsidP="00F53EB4">
            <w:pPr>
              <w:jc w:val="center"/>
              <w:rPr>
                <w:b/>
                <w:color w:val="2E74B5" w:themeColor="accent1" w:themeShade="BF"/>
                <w:u w:val="single"/>
              </w:rPr>
            </w:pPr>
            <w:r w:rsidRPr="00317EAA">
              <w:rPr>
                <w:b/>
                <w:color w:val="2E74B5" w:themeColor="accent1" w:themeShade="BF"/>
                <w:u w:val="single"/>
              </w:rPr>
              <w:t>Modifications </w:t>
            </w:r>
            <w:r>
              <w:rPr>
                <w:b/>
                <w:color w:val="2E74B5" w:themeColor="accent1" w:themeShade="BF"/>
                <w:u w:val="single"/>
              </w:rPr>
              <w:t>dans le décret</w:t>
            </w:r>
          </w:p>
          <w:p w14:paraId="0390E0F3" w14:textId="4F92CAB7" w:rsidR="004770DE" w:rsidRPr="004770DE" w:rsidRDefault="004770DE" w:rsidP="004770DE">
            <w:pPr>
              <w:spacing w:after="160" w:line="259" w:lineRule="auto"/>
              <w:jc w:val="both"/>
              <w:rPr>
                <w:i/>
                <w:sz w:val="20"/>
              </w:rPr>
            </w:pPr>
            <w:r w:rsidRPr="004770DE">
              <w:rPr>
                <w:i/>
                <w:sz w:val="20"/>
              </w:rPr>
              <w:t>c) Il est ajouté un III ainsi rédigé</w:t>
            </w:r>
            <w:r>
              <w:rPr>
                <w:i/>
                <w:sz w:val="20"/>
              </w:rPr>
              <w:t xml:space="preserve"> : </w:t>
            </w:r>
          </w:p>
          <w:p w14:paraId="6812859E" w14:textId="77777777" w:rsidR="004770DE" w:rsidRPr="004770DE" w:rsidRDefault="004770DE" w:rsidP="004770DE">
            <w:pPr>
              <w:spacing w:after="160" w:line="259" w:lineRule="auto"/>
              <w:jc w:val="both"/>
              <w:rPr>
                <w:i/>
                <w:sz w:val="20"/>
              </w:rPr>
            </w:pPr>
            <w:r w:rsidRPr="004770DE">
              <w:rPr>
                <w:i/>
                <w:sz w:val="20"/>
              </w:rPr>
              <w:t>« III. – Lorsqu’une personne bénéficie de la protection complémentaire en matière de santé en application de l’article R. 861-2 en raison de son appartenance à un foyer éligible, elle continue, après le décès de l’auteur de la demande à bénéficier de cette protection jusqu’à l’expiration du droit initial, sauf si elle déclare s’y opposer auprès de l’organisme gestionnaire ».</w:t>
            </w:r>
          </w:p>
          <w:p w14:paraId="147556B4" w14:textId="269C4291" w:rsidR="00F53EB4" w:rsidRDefault="00F53EB4" w:rsidP="00F53EB4">
            <w:pPr>
              <w:jc w:val="center"/>
              <w:rPr>
                <w:b/>
                <w:color w:val="2E74B5" w:themeColor="accent1" w:themeShade="BF"/>
                <w:u w:val="single"/>
              </w:rPr>
            </w:pPr>
          </w:p>
        </w:tc>
      </w:tr>
      <w:tr w:rsidR="00DB2AD0" w14:paraId="2AD6FCA4" w14:textId="77777777" w:rsidTr="00DB2AD0">
        <w:trPr>
          <w:trHeight w:val="1605"/>
        </w:trPr>
        <w:tc>
          <w:tcPr>
            <w:tcW w:w="9085" w:type="dxa"/>
          </w:tcPr>
          <w:p w14:paraId="517F9F00" w14:textId="77777777" w:rsidR="00DB2AD0" w:rsidRDefault="00DB2AD0" w:rsidP="00DB2AD0">
            <w:pPr>
              <w:jc w:val="center"/>
              <w:rPr>
                <w:b/>
                <w:color w:val="2E74B5" w:themeColor="accent1" w:themeShade="BF"/>
                <w:u w:val="single"/>
              </w:rPr>
            </w:pPr>
          </w:p>
          <w:p w14:paraId="2803B531" w14:textId="77777777" w:rsidR="00DB2AD0" w:rsidRPr="00114B1F" w:rsidRDefault="00DB2AD0" w:rsidP="00DB2AD0">
            <w:pPr>
              <w:jc w:val="center"/>
              <w:rPr>
                <w:b/>
                <w:color w:val="2E74B5" w:themeColor="accent1" w:themeShade="BF"/>
                <w:u w:val="single"/>
              </w:rPr>
            </w:pPr>
            <w:r w:rsidRPr="00114B1F">
              <w:rPr>
                <w:b/>
                <w:color w:val="2E74B5" w:themeColor="accent1" w:themeShade="BF"/>
                <w:u w:val="single"/>
              </w:rPr>
              <w:t>Modalités opérationnelles</w:t>
            </w:r>
          </w:p>
          <w:p w14:paraId="314AEBBF" w14:textId="549FC8C0" w:rsidR="00DB2AD0" w:rsidRDefault="00DB2AD0" w:rsidP="00DB2AD0">
            <w:pPr>
              <w:jc w:val="both"/>
            </w:pPr>
            <w:r>
              <w:t>L</w:t>
            </w:r>
            <w:r w:rsidRPr="00DB2AD0">
              <w:t xml:space="preserve">e majeur en </w:t>
            </w:r>
            <w:r w:rsidRPr="00DB2AD0">
              <w:rPr>
                <w:b/>
              </w:rPr>
              <w:t>responsabilité</w:t>
            </w:r>
            <w:r w:rsidRPr="00DB2AD0">
              <w:t xml:space="preserve"> </w:t>
            </w:r>
            <w:r w:rsidR="006264CD">
              <w:t xml:space="preserve">des membres mineurs du foyer </w:t>
            </w:r>
            <w:r w:rsidRPr="00DB2AD0">
              <w:t xml:space="preserve">(qui adresse à </w:t>
            </w:r>
            <w:r>
              <w:t>l’organisme gestionnaire</w:t>
            </w:r>
            <w:r w:rsidRPr="00DB2AD0">
              <w:t xml:space="preserve"> la déclaration de décès </w:t>
            </w:r>
            <w:r>
              <w:t>du bénéficiaire</w:t>
            </w:r>
            <w:r w:rsidRPr="00DB2AD0">
              <w:t xml:space="preserve">) </w:t>
            </w:r>
            <w:r>
              <w:t>prend</w:t>
            </w:r>
            <w:r w:rsidRPr="00DB2AD0">
              <w:t xml:space="preserve"> la responsabilité de ce contrat. Dans les situations pour lesquelles il ne resterait que des ayant</w:t>
            </w:r>
            <w:r w:rsidR="006264CD">
              <w:t xml:space="preserve">s </w:t>
            </w:r>
            <w:r w:rsidRPr="00DB2AD0">
              <w:t xml:space="preserve">droit mineurs sur le contrat, le tuteur en charge des mineurs devient l’interlocuteur principal du contrat. </w:t>
            </w:r>
          </w:p>
          <w:p w14:paraId="10E54E90" w14:textId="77777777" w:rsidR="0038762E" w:rsidRDefault="0038762E" w:rsidP="00DB2AD0">
            <w:pPr>
              <w:jc w:val="both"/>
            </w:pPr>
          </w:p>
          <w:p w14:paraId="36BEE68F" w14:textId="77777777" w:rsidR="0038762E" w:rsidRPr="00114B1F" w:rsidRDefault="0038762E" w:rsidP="0038762E">
            <w:pPr>
              <w:jc w:val="both"/>
              <w:rPr>
                <w:b/>
              </w:rPr>
            </w:pPr>
            <w:r w:rsidRPr="00114B1F">
              <w:rPr>
                <w:b/>
              </w:rPr>
              <w:t>Cette règle s’appliquera à compter du 1</w:t>
            </w:r>
            <w:r w:rsidRPr="00114B1F">
              <w:rPr>
                <w:b/>
                <w:vertAlign w:val="superscript"/>
              </w:rPr>
              <w:t>er</w:t>
            </w:r>
            <w:r w:rsidRPr="00114B1F">
              <w:rPr>
                <w:b/>
              </w:rPr>
              <w:t xml:space="preserve"> janvier 2022.</w:t>
            </w:r>
          </w:p>
          <w:p w14:paraId="57F34626" w14:textId="48039180" w:rsidR="00DB2AD0" w:rsidRDefault="00DB2AD0" w:rsidP="00DB2AD0">
            <w:pPr>
              <w:jc w:val="both"/>
            </w:pPr>
          </w:p>
        </w:tc>
      </w:tr>
    </w:tbl>
    <w:p w14:paraId="14A6FB71" w14:textId="77777777" w:rsidR="006D17FC" w:rsidRDefault="006D17FC" w:rsidP="00114B1F"/>
    <w:p w14:paraId="6508EC0D" w14:textId="2111DF23" w:rsidR="006D17FC" w:rsidRDefault="00461712" w:rsidP="00114B1F">
      <w:pPr>
        <w:pBdr>
          <w:bottom w:val="single" w:sz="6" w:space="1" w:color="auto"/>
        </w:pBdr>
        <w:rPr>
          <w:b/>
          <w:sz w:val="24"/>
        </w:rPr>
      </w:pPr>
      <w:r w:rsidRPr="00114B1F">
        <w:rPr>
          <w:b/>
          <w:sz w:val="24"/>
        </w:rPr>
        <w:t xml:space="preserve">Intégration d’un enfant majeur </w:t>
      </w:r>
      <w:r w:rsidR="006264CD">
        <w:rPr>
          <w:b/>
          <w:sz w:val="24"/>
        </w:rPr>
        <w:t xml:space="preserve">(moins de 25 ans) </w:t>
      </w:r>
      <w:r w:rsidRPr="00114B1F">
        <w:rPr>
          <w:b/>
          <w:sz w:val="24"/>
        </w:rPr>
        <w:t>dans un foyer bénéficiaire d’un contrat de complémentaire santé solidaire en cours de droit</w:t>
      </w:r>
      <w:r w:rsidR="00114B1F" w:rsidRPr="00114B1F">
        <w:rPr>
          <w:b/>
          <w:sz w:val="24"/>
        </w:rPr>
        <w:t xml:space="preserve"> (Article R.861-16-5 du CSS)</w:t>
      </w:r>
    </w:p>
    <w:p w14:paraId="22548BF0" w14:textId="5ABF206C" w:rsidR="00DB2AD0" w:rsidRPr="00DB2AD0" w:rsidRDefault="00114B1F" w:rsidP="00DB2AD0">
      <w:pPr>
        <w:jc w:val="both"/>
        <w:rPr>
          <w:i/>
          <w:sz w:val="20"/>
        </w:rPr>
      </w:pPr>
      <w:r w:rsidRPr="00114B1F">
        <w:rPr>
          <w:i/>
          <w:sz w:val="20"/>
        </w:rPr>
        <w:t>Il sera</w:t>
      </w:r>
      <w:r>
        <w:rPr>
          <w:i/>
          <w:sz w:val="20"/>
        </w:rPr>
        <w:t xml:space="preserve"> désormais</w:t>
      </w:r>
      <w:r w:rsidRPr="00114B1F">
        <w:rPr>
          <w:i/>
          <w:sz w:val="20"/>
        </w:rPr>
        <w:t xml:space="preserve"> possible d’intégrer un enfant à charge de moins de 25 ans au sein d’un foyer bénéficiaire de la complémentaire santé solidaire en cours de droit pour la période de droit restant à courir, moyennant le cas échéant, le paiement d’une participation financière.</w:t>
      </w:r>
    </w:p>
    <w:tbl>
      <w:tblPr>
        <w:tblStyle w:val="Grilledutableau"/>
        <w:tblW w:w="9085" w:type="dxa"/>
        <w:tbl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blBorders>
        <w:tblLook w:val="04A0" w:firstRow="1" w:lastRow="0" w:firstColumn="1" w:lastColumn="0" w:noHBand="0" w:noVBand="1"/>
      </w:tblPr>
      <w:tblGrid>
        <w:gridCol w:w="9085"/>
      </w:tblGrid>
      <w:tr w:rsidR="00350986" w14:paraId="59260E7E" w14:textId="77777777" w:rsidTr="004809EE">
        <w:trPr>
          <w:trHeight w:val="391"/>
        </w:trPr>
        <w:tc>
          <w:tcPr>
            <w:tcW w:w="9085" w:type="dxa"/>
          </w:tcPr>
          <w:p w14:paraId="2406D091" w14:textId="77777777" w:rsidR="00350986" w:rsidRPr="00317EAA" w:rsidRDefault="00350986" w:rsidP="00350986">
            <w:pPr>
              <w:jc w:val="center"/>
              <w:rPr>
                <w:b/>
                <w:color w:val="2E74B5" w:themeColor="accent1" w:themeShade="BF"/>
                <w:u w:val="single"/>
              </w:rPr>
            </w:pPr>
            <w:r w:rsidRPr="00317EAA">
              <w:rPr>
                <w:b/>
                <w:color w:val="2E74B5" w:themeColor="accent1" w:themeShade="BF"/>
                <w:u w:val="single"/>
              </w:rPr>
              <w:t>Modifications </w:t>
            </w:r>
            <w:r>
              <w:rPr>
                <w:b/>
                <w:color w:val="2E74B5" w:themeColor="accent1" w:themeShade="BF"/>
                <w:u w:val="single"/>
              </w:rPr>
              <w:t>dans le décret</w:t>
            </w:r>
          </w:p>
          <w:p w14:paraId="2B33DA1C" w14:textId="426642E0" w:rsidR="004770DE" w:rsidRPr="004770DE" w:rsidRDefault="004770DE" w:rsidP="004770DE">
            <w:pPr>
              <w:spacing w:after="160" w:line="259" w:lineRule="auto"/>
              <w:jc w:val="both"/>
              <w:rPr>
                <w:i/>
                <w:sz w:val="20"/>
              </w:rPr>
            </w:pPr>
            <w:r w:rsidRPr="004770DE">
              <w:rPr>
                <w:i/>
                <w:sz w:val="20"/>
              </w:rPr>
              <w:t>9° L’article R. 861-16-5 est ainsi modifié :</w:t>
            </w:r>
          </w:p>
          <w:p w14:paraId="5197CBCC" w14:textId="5417CC1B" w:rsidR="004770DE" w:rsidRPr="004770DE" w:rsidRDefault="004770DE" w:rsidP="004770DE">
            <w:pPr>
              <w:spacing w:after="160" w:line="259" w:lineRule="auto"/>
              <w:jc w:val="both"/>
              <w:rPr>
                <w:i/>
                <w:sz w:val="20"/>
              </w:rPr>
            </w:pPr>
            <w:r w:rsidRPr="004770DE">
              <w:rPr>
                <w:i/>
                <w:sz w:val="20"/>
              </w:rPr>
              <w:t xml:space="preserve">a) Au premier alinéa du I, les mots : « d’un enfant mineur à charge » sont remplacés par les mots : « d’un enfant à charge de moins de 25 ans » ; </w:t>
            </w:r>
          </w:p>
          <w:p w14:paraId="28EAF782" w14:textId="3FE5C8FC" w:rsidR="00350986" w:rsidRPr="004770DE" w:rsidRDefault="004770DE" w:rsidP="004770DE">
            <w:pPr>
              <w:spacing w:after="160" w:line="259" w:lineRule="auto"/>
              <w:jc w:val="both"/>
              <w:rPr>
                <w:i/>
                <w:sz w:val="20"/>
              </w:rPr>
            </w:pPr>
            <w:r w:rsidRPr="004770DE">
              <w:rPr>
                <w:i/>
                <w:sz w:val="20"/>
              </w:rPr>
              <w:t>b) Le deuxième alinéa du I est complété par les mots : « sauf si celui-ci est majeur » ;</w:t>
            </w:r>
          </w:p>
        </w:tc>
      </w:tr>
      <w:tr w:rsidR="00DB2AD0" w14:paraId="4A4D7462" w14:textId="77777777" w:rsidTr="00A2249B">
        <w:trPr>
          <w:trHeight w:val="5366"/>
        </w:trPr>
        <w:tc>
          <w:tcPr>
            <w:tcW w:w="9085" w:type="dxa"/>
          </w:tcPr>
          <w:p w14:paraId="2089282B" w14:textId="77777777" w:rsidR="00DB2AD0" w:rsidRDefault="00DB2AD0" w:rsidP="00401B46">
            <w:pPr>
              <w:jc w:val="center"/>
              <w:rPr>
                <w:b/>
                <w:color w:val="2E74B5" w:themeColor="accent1" w:themeShade="BF"/>
                <w:u w:val="single"/>
              </w:rPr>
            </w:pPr>
          </w:p>
          <w:p w14:paraId="48D6B304" w14:textId="77777777" w:rsidR="00DB2AD0" w:rsidRPr="00114B1F" w:rsidRDefault="00DB2AD0" w:rsidP="00401B46">
            <w:pPr>
              <w:jc w:val="center"/>
              <w:rPr>
                <w:b/>
                <w:color w:val="2E74B5" w:themeColor="accent1" w:themeShade="BF"/>
                <w:u w:val="single"/>
              </w:rPr>
            </w:pPr>
            <w:r w:rsidRPr="00114B1F">
              <w:rPr>
                <w:b/>
                <w:color w:val="2E74B5" w:themeColor="accent1" w:themeShade="BF"/>
                <w:u w:val="single"/>
              </w:rPr>
              <w:t>Modalités opérationnelles</w:t>
            </w:r>
          </w:p>
          <w:p w14:paraId="6F9E7F89" w14:textId="3A24E712" w:rsidR="00DB2AD0" w:rsidRDefault="00DB2AD0" w:rsidP="00DB2AD0">
            <w:pPr>
              <w:jc w:val="both"/>
            </w:pPr>
            <w:r w:rsidRPr="00461712">
              <w:t xml:space="preserve">L’organisme gestionnaire devra </w:t>
            </w:r>
            <w:r w:rsidRPr="00DB2AD0">
              <w:rPr>
                <w:b/>
              </w:rPr>
              <w:t xml:space="preserve">vérifier les conditions nécessaires pour intégrer le </w:t>
            </w:r>
            <w:r w:rsidR="00D461FE">
              <w:rPr>
                <w:b/>
              </w:rPr>
              <w:t>nouvel</w:t>
            </w:r>
            <w:r w:rsidR="00D461FE" w:rsidRPr="00DB2AD0">
              <w:rPr>
                <w:b/>
              </w:rPr>
              <w:t xml:space="preserve"> </w:t>
            </w:r>
            <w:r w:rsidRPr="00DB2AD0">
              <w:rPr>
                <w:b/>
              </w:rPr>
              <w:t>ayant</w:t>
            </w:r>
            <w:r w:rsidR="006264CD">
              <w:rPr>
                <w:b/>
              </w:rPr>
              <w:t xml:space="preserve"> </w:t>
            </w:r>
            <w:r w:rsidRPr="00DB2AD0">
              <w:rPr>
                <w:b/>
              </w:rPr>
              <w:t>droit au contrat</w:t>
            </w:r>
            <w:r w:rsidRPr="00461712">
              <w:t xml:space="preserve"> : enfant du bénéficiaire âgé de moins de 25 ans (via une copie du livret de famille, extrait de l’acte de naissance de l’enfant, ou encore une copie du document attestant de tutelle ou d’accueil de l’enfant). </w:t>
            </w:r>
          </w:p>
          <w:p w14:paraId="34C17A87" w14:textId="512773F6" w:rsidR="00544F32" w:rsidRDefault="00544F32" w:rsidP="00DB2AD0">
            <w:pPr>
              <w:jc w:val="both"/>
            </w:pPr>
          </w:p>
          <w:p w14:paraId="71988CF7" w14:textId="7BF4FB34" w:rsidR="00544F32" w:rsidRDefault="00544F32" w:rsidP="00DB2AD0">
            <w:pPr>
              <w:jc w:val="both"/>
            </w:pPr>
            <w:r>
              <w:t>Il convient de retenir :</w:t>
            </w:r>
          </w:p>
          <w:p w14:paraId="721752AE" w14:textId="77777777" w:rsidR="00544F32" w:rsidRDefault="00544F32" w:rsidP="00544F32">
            <w:pPr>
              <w:pStyle w:val="Paragraphedeliste"/>
              <w:numPr>
                <w:ilvl w:val="0"/>
                <w:numId w:val="12"/>
              </w:numPr>
              <w:contextualSpacing w:val="0"/>
              <w:rPr>
                <w:color w:val="000000" w:themeColor="text1"/>
              </w:rPr>
            </w:pPr>
            <w:r>
              <w:rPr>
                <w:color w:val="000000" w:themeColor="text1"/>
              </w:rPr>
              <w:t>L’âge de l’enfant à la date de dépôt de la demande de C2S pour déterminer leur appartenance ou non au foyer C2S.</w:t>
            </w:r>
          </w:p>
          <w:p w14:paraId="24CA4472" w14:textId="534FF162" w:rsidR="00544F32" w:rsidRPr="00544F32" w:rsidRDefault="00544F32" w:rsidP="00544F32">
            <w:pPr>
              <w:pStyle w:val="Paragraphedeliste"/>
              <w:numPr>
                <w:ilvl w:val="0"/>
                <w:numId w:val="12"/>
              </w:numPr>
              <w:contextualSpacing w:val="0"/>
              <w:rPr>
                <w:color w:val="000000" w:themeColor="text1"/>
              </w:rPr>
            </w:pPr>
            <w:r>
              <w:rPr>
                <w:color w:val="000000" w:themeColor="text1"/>
              </w:rPr>
              <w:t>L</w:t>
            </w:r>
            <w:r w:rsidRPr="00544F32">
              <w:rPr>
                <w:color w:val="000000" w:themeColor="text1"/>
              </w:rPr>
              <w:t>’âge au 1</w:t>
            </w:r>
            <w:r w:rsidRPr="00544F32">
              <w:rPr>
                <w:color w:val="000000" w:themeColor="text1"/>
                <w:vertAlign w:val="superscript"/>
              </w:rPr>
              <w:t>er</w:t>
            </w:r>
            <w:r>
              <w:rPr>
                <w:color w:val="000000" w:themeColor="text1"/>
              </w:rPr>
              <w:t xml:space="preserve"> </w:t>
            </w:r>
            <w:r w:rsidRPr="00544F32">
              <w:rPr>
                <w:color w:val="000000" w:themeColor="text1"/>
              </w:rPr>
              <w:t>janvie</w:t>
            </w:r>
            <w:bookmarkStart w:id="0" w:name="_GoBack"/>
            <w:bookmarkEnd w:id="0"/>
            <w:r w:rsidRPr="00544F32">
              <w:rPr>
                <w:color w:val="000000" w:themeColor="text1"/>
              </w:rPr>
              <w:t xml:space="preserve">r de l’année d’attribution </w:t>
            </w:r>
            <w:r w:rsidRPr="00544F32">
              <w:rPr>
                <w:color w:val="000000" w:themeColor="text1"/>
              </w:rPr>
              <w:t>pour</w:t>
            </w:r>
            <w:r w:rsidRPr="00544F32">
              <w:rPr>
                <w:color w:val="000000" w:themeColor="text1"/>
              </w:rPr>
              <w:t xml:space="preserve"> déterminer le montant de la participation financière.</w:t>
            </w:r>
          </w:p>
          <w:p w14:paraId="2E8F97DE" w14:textId="77777777" w:rsidR="00DB2AD0" w:rsidRDefault="00DB2AD0" w:rsidP="00DB2AD0">
            <w:pPr>
              <w:jc w:val="both"/>
            </w:pPr>
          </w:p>
          <w:p w14:paraId="55C1E51B" w14:textId="66E03584" w:rsidR="00DB2AD0" w:rsidRDefault="00DB2AD0" w:rsidP="00DB2AD0">
            <w:pPr>
              <w:jc w:val="both"/>
            </w:pPr>
            <w:r w:rsidRPr="00461712">
              <w:t>L’enfant majeur est ajouté au contrat en cours</w:t>
            </w:r>
            <w:r w:rsidR="00C94367">
              <w:t>, sur demande de l’assuré à l’OC gestionnaire,</w:t>
            </w:r>
            <w:r w:rsidRPr="00461712">
              <w:t xml:space="preserve"> le </w:t>
            </w:r>
            <w:r w:rsidRPr="006D17FC">
              <w:rPr>
                <w:b/>
              </w:rPr>
              <w:t>1er jour du mois qui suit la date de la demande d’ajout de ce nouvel ayant</w:t>
            </w:r>
            <w:r w:rsidR="006264CD">
              <w:rPr>
                <w:b/>
              </w:rPr>
              <w:t xml:space="preserve"> </w:t>
            </w:r>
            <w:r w:rsidRPr="006D17FC">
              <w:rPr>
                <w:b/>
              </w:rPr>
              <w:t>droit pour la durée du contrat restant à courir</w:t>
            </w:r>
            <w:r w:rsidRPr="006D17FC">
              <w:t>.</w:t>
            </w:r>
          </w:p>
          <w:p w14:paraId="0A7F2543" w14:textId="77777777" w:rsidR="00DB2AD0" w:rsidRDefault="00DB2AD0" w:rsidP="00DB2AD0">
            <w:pPr>
              <w:jc w:val="both"/>
            </w:pPr>
          </w:p>
          <w:p w14:paraId="5009CBD6" w14:textId="1A764820" w:rsidR="00A67A8C" w:rsidRDefault="000F7D55" w:rsidP="00020EC4">
            <w:pPr>
              <w:spacing w:after="160" w:line="259" w:lineRule="auto"/>
              <w:jc w:val="both"/>
              <w:rPr>
                <w:rFonts w:ascii="Calibri" w:eastAsia="Calibri" w:hAnsi="Calibri" w:cs="Times New Roman"/>
              </w:rPr>
            </w:pPr>
            <w:r>
              <w:rPr>
                <w:rFonts w:ascii="Calibri" w:eastAsia="Calibri" w:hAnsi="Calibri" w:cs="Times New Roman"/>
              </w:rPr>
              <w:t xml:space="preserve">L’organisme gestionnaire n’est </w:t>
            </w:r>
            <w:r w:rsidRPr="00470B5D">
              <w:rPr>
                <w:rFonts w:ascii="Calibri" w:eastAsia="Calibri" w:hAnsi="Calibri" w:cs="Times New Roman"/>
                <w:b/>
              </w:rPr>
              <w:t xml:space="preserve">pas tenu de faire signer un nouveau bulletin d’adhésion intégrant l’enfant </w:t>
            </w:r>
            <w:r w:rsidR="004A283B" w:rsidRPr="00470B5D">
              <w:rPr>
                <w:rFonts w:ascii="Calibri" w:eastAsia="Calibri" w:hAnsi="Calibri" w:cs="Times New Roman"/>
                <w:b/>
              </w:rPr>
              <w:t>lorsqu</w:t>
            </w:r>
            <w:r w:rsidR="004A283B">
              <w:rPr>
                <w:rFonts w:ascii="Calibri" w:eastAsia="Calibri" w:hAnsi="Calibri" w:cs="Times New Roman"/>
                <w:b/>
              </w:rPr>
              <w:t>e le</w:t>
            </w:r>
            <w:r w:rsidR="004A283B" w:rsidRPr="00470B5D">
              <w:rPr>
                <w:rFonts w:ascii="Calibri" w:eastAsia="Calibri" w:hAnsi="Calibri" w:cs="Times New Roman"/>
                <w:b/>
              </w:rPr>
              <w:t xml:space="preserve"> </w:t>
            </w:r>
            <w:r w:rsidRPr="00470B5D">
              <w:rPr>
                <w:rFonts w:ascii="Calibri" w:eastAsia="Calibri" w:hAnsi="Calibri" w:cs="Times New Roman"/>
                <w:b/>
              </w:rPr>
              <w:t>nouvel échéancier est adressé</w:t>
            </w:r>
            <w:r>
              <w:rPr>
                <w:rFonts w:ascii="Calibri" w:eastAsia="Calibri" w:hAnsi="Calibri" w:cs="Times New Roman"/>
              </w:rPr>
              <w:t>.</w:t>
            </w:r>
          </w:p>
          <w:p w14:paraId="78C5798C" w14:textId="77777777" w:rsidR="002A51FE" w:rsidRPr="006B3211" w:rsidRDefault="00020EC4" w:rsidP="00020EC4">
            <w:pPr>
              <w:spacing w:after="160" w:line="259" w:lineRule="auto"/>
              <w:jc w:val="both"/>
              <w:rPr>
                <w:rFonts w:ascii="Calibri" w:eastAsia="Calibri" w:hAnsi="Calibri" w:cs="Times New Roman"/>
                <w:color w:val="000000" w:themeColor="text1"/>
              </w:rPr>
            </w:pPr>
            <w:r w:rsidRPr="006B3211">
              <w:rPr>
                <w:rFonts w:ascii="Calibri" w:eastAsia="Calibri" w:hAnsi="Calibri" w:cs="Times New Roman"/>
                <w:b/>
                <w:color w:val="000000" w:themeColor="text1"/>
              </w:rPr>
              <w:t>L’</w:t>
            </w:r>
            <w:r w:rsidR="000F7D55" w:rsidRPr="006B3211">
              <w:rPr>
                <w:rFonts w:ascii="Calibri" w:eastAsia="Calibri" w:hAnsi="Calibri" w:cs="Times New Roman"/>
                <w:b/>
                <w:color w:val="000000" w:themeColor="text1"/>
              </w:rPr>
              <w:t>organisme complémentaire gestionnaire</w:t>
            </w:r>
            <w:r w:rsidRPr="006B3211">
              <w:rPr>
                <w:rFonts w:ascii="Calibri" w:eastAsia="Calibri" w:hAnsi="Calibri" w:cs="Times New Roman"/>
                <w:b/>
                <w:color w:val="000000" w:themeColor="text1"/>
              </w:rPr>
              <w:t xml:space="preserve"> devra prévenir la caisse d’affiliation de l’enfant majeur nouvellement intégré </w:t>
            </w:r>
            <w:r w:rsidRPr="006B3211">
              <w:rPr>
                <w:rFonts w:ascii="Calibri" w:eastAsia="Calibri" w:hAnsi="Calibri" w:cs="Times New Roman"/>
                <w:color w:val="000000" w:themeColor="text1"/>
              </w:rPr>
              <w:t>afin de permettre</w:t>
            </w:r>
            <w:r w:rsidR="002A51FE" w:rsidRPr="006B3211">
              <w:rPr>
                <w:rFonts w:ascii="Calibri" w:eastAsia="Calibri" w:hAnsi="Calibri" w:cs="Times New Roman"/>
                <w:color w:val="000000" w:themeColor="text1"/>
              </w:rPr>
              <w:t> :</w:t>
            </w:r>
          </w:p>
          <w:p w14:paraId="560B3CC4" w14:textId="77777777" w:rsidR="002A51FE" w:rsidRDefault="00020EC4" w:rsidP="002A51FE">
            <w:pPr>
              <w:pStyle w:val="Paragraphedeliste"/>
              <w:numPr>
                <w:ilvl w:val="0"/>
                <w:numId w:val="9"/>
              </w:numPr>
              <w:jc w:val="both"/>
              <w:rPr>
                <w:rFonts w:ascii="Calibri" w:eastAsia="Calibri" w:hAnsi="Calibri" w:cs="Times New Roman"/>
                <w:color w:val="000000" w:themeColor="text1"/>
              </w:rPr>
            </w:pPr>
            <w:proofErr w:type="gramStart"/>
            <w:r w:rsidRPr="006B3211">
              <w:rPr>
                <w:rFonts w:ascii="Calibri" w:eastAsia="Calibri" w:hAnsi="Calibri" w:cs="Times New Roman"/>
                <w:color w:val="000000" w:themeColor="text1"/>
              </w:rPr>
              <w:t>soit</w:t>
            </w:r>
            <w:proofErr w:type="gramEnd"/>
            <w:r w:rsidRPr="006B3211">
              <w:rPr>
                <w:rFonts w:ascii="Calibri" w:eastAsia="Calibri" w:hAnsi="Calibri" w:cs="Times New Roman"/>
                <w:color w:val="000000" w:themeColor="text1"/>
              </w:rPr>
              <w:t xml:space="preserve"> la création de la </w:t>
            </w:r>
            <w:r w:rsidR="00D02BC8" w:rsidRPr="006B3211">
              <w:rPr>
                <w:rFonts w:ascii="Calibri" w:eastAsia="Calibri" w:hAnsi="Calibri" w:cs="Times New Roman"/>
                <w:color w:val="000000" w:themeColor="text1"/>
              </w:rPr>
              <w:t xml:space="preserve">complémentaire santé solidaire </w:t>
            </w:r>
            <w:r w:rsidRPr="006B3211">
              <w:rPr>
                <w:rFonts w:ascii="Calibri" w:eastAsia="Calibri" w:hAnsi="Calibri" w:cs="Times New Roman"/>
                <w:color w:val="000000" w:themeColor="text1"/>
              </w:rPr>
              <w:t xml:space="preserve">sans participation, </w:t>
            </w:r>
          </w:p>
          <w:p w14:paraId="21056F4A" w14:textId="77777777" w:rsidR="00F53EB4" w:rsidRPr="00F53EB4" w:rsidRDefault="00F46201" w:rsidP="00F53EB4">
            <w:pPr>
              <w:pStyle w:val="Paragraphedeliste"/>
              <w:numPr>
                <w:ilvl w:val="0"/>
                <w:numId w:val="9"/>
              </w:numPr>
              <w:jc w:val="both"/>
            </w:pPr>
            <w:proofErr w:type="gramStart"/>
            <w:r>
              <w:rPr>
                <w:rFonts w:ascii="Calibri" w:eastAsia="Calibri" w:hAnsi="Calibri" w:cs="Times New Roman"/>
                <w:color w:val="000000" w:themeColor="text1"/>
              </w:rPr>
              <w:t>soit</w:t>
            </w:r>
            <w:proofErr w:type="gramEnd"/>
            <w:r>
              <w:rPr>
                <w:rFonts w:ascii="Calibri" w:eastAsia="Calibri" w:hAnsi="Calibri" w:cs="Times New Roman"/>
                <w:color w:val="000000" w:themeColor="text1"/>
              </w:rPr>
              <w:t xml:space="preserve"> la mise à jour du dossier de l’enfant majeur avant l’envoi du flux 408 afin d’éviter </w:t>
            </w:r>
            <w:r w:rsidR="004809EE" w:rsidRPr="006B3211">
              <w:rPr>
                <w:rFonts w:ascii="Calibri" w:eastAsia="Calibri" w:hAnsi="Calibri" w:cs="Times New Roman"/>
                <w:color w:val="000000" w:themeColor="text1"/>
              </w:rPr>
              <w:t xml:space="preserve">un </w:t>
            </w:r>
            <w:r w:rsidR="0074207A" w:rsidRPr="006B3211">
              <w:rPr>
                <w:rFonts w:ascii="Calibri" w:eastAsia="Calibri" w:hAnsi="Calibri" w:cs="Times New Roman"/>
                <w:color w:val="000000" w:themeColor="text1"/>
              </w:rPr>
              <w:t>rejet R90 pour la complémentaire santé solidaire avec participation</w:t>
            </w:r>
          </w:p>
          <w:p w14:paraId="79390A49" w14:textId="6DC105B9" w:rsidR="00477EE8" w:rsidRPr="00F53EB4" w:rsidRDefault="00F46201" w:rsidP="00F53EB4">
            <w:pPr>
              <w:pStyle w:val="Paragraphedeliste"/>
              <w:jc w:val="both"/>
            </w:pPr>
            <w:r w:rsidRPr="006B3211" w:rsidDel="00F46201">
              <w:rPr>
                <w:rFonts w:ascii="Calibri" w:eastAsia="Calibri" w:hAnsi="Calibri" w:cs="Times New Roman"/>
                <w:b/>
                <w:color w:val="000000" w:themeColor="text1"/>
                <w:u w:val="single"/>
              </w:rPr>
              <w:t xml:space="preserve"> </w:t>
            </w:r>
          </w:p>
          <w:p w14:paraId="139DAD4D" w14:textId="65012D70" w:rsidR="0074207A" w:rsidRPr="006B3211" w:rsidRDefault="0074207A" w:rsidP="0074207A">
            <w:pPr>
              <w:jc w:val="both"/>
              <w:rPr>
                <w:rFonts w:ascii="Calibri" w:eastAsia="Calibri" w:hAnsi="Calibri" w:cs="Times New Roman"/>
                <w:color w:val="000000" w:themeColor="text1"/>
              </w:rPr>
            </w:pPr>
            <w:r w:rsidRPr="006B3211">
              <w:rPr>
                <w:rFonts w:ascii="Calibri" w:eastAsia="Calibri" w:hAnsi="Calibri" w:cs="Times New Roman"/>
                <w:color w:val="000000" w:themeColor="text1"/>
              </w:rPr>
              <w:t>Par quel moyen cette information peut se faire ? Contacter directement par mail les interlocuteurs C2S au sein des caisses (cf. coordonnées des interlocuteurs dans l’espace réservé du site C2S, mis à jour en continu par la CNAM et la MSA).</w:t>
            </w:r>
          </w:p>
          <w:p w14:paraId="2A8AA2B7" w14:textId="239115C2" w:rsidR="0074207A" w:rsidRPr="006B3211" w:rsidRDefault="0074207A" w:rsidP="0074207A">
            <w:pPr>
              <w:jc w:val="both"/>
              <w:rPr>
                <w:rFonts w:ascii="Calibri" w:eastAsia="Calibri" w:hAnsi="Calibri" w:cs="Times New Roman"/>
                <w:color w:val="000000" w:themeColor="text1"/>
              </w:rPr>
            </w:pPr>
          </w:p>
          <w:p w14:paraId="0FFC6DB3" w14:textId="5F00F770" w:rsidR="0074207A" w:rsidRPr="006B3211" w:rsidRDefault="00F53EB4" w:rsidP="0074207A">
            <w:pPr>
              <w:jc w:val="both"/>
              <w:rPr>
                <w:rFonts w:ascii="Calibri" w:eastAsia="Calibri" w:hAnsi="Calibri" w:cs="Times New Roman"/>
                <w:color w:val="000000" w:themeColor="text1"/>
              </w:rPr>
            </w:pPr>
            <w:r>
              <w:rPr>
                <w:rFonts w:ascii="Calibri" w:eastAsia="Calibri" w:hAnsi="Calibri" w:cs="Times New Roman"/>
                <w:color w:val="000000" w:themeColor="text1"/>
              </w:rPr>
              <w:t xml:space="preserve">Les informations nécessaires </w:t>
            </w:r>
            <w:r w:rsidR="00350986">
              <w:rPr>
                <w:rFonts w:ascii="Calibri" w:eastAsia="Calibri" w:hAnsi="Calibri" w:cs="Times New Roman"/>
                <w:color w:val="000000" w:themeColor="text1"/>
              </w:rPr>
              <w:t>à fournir</w:t>
            </w:r>
            <w:r>
              <w:rPr>
                <w:rFonts w:ascii="Calibri" w:eastAsia="Calibri" w:hAnsi="Calibri" w:cs="Times New Roman"/>
                <w:color w:val="000000" w:themeColor="text1"/>
              </w:rPr>
              <w:t xml:space="preserve"> sont à retrouver dans la fiche de procédure CNAM</w:t>
            </w:r>
            <w:r w:rsidR="00350986">
              <w:rPr>
                <w:rFonts w:ascii="Calibri" w:eastAsia="Calibri" w:hAnsi="Calibri" w:cs="Times New Roman"/>
                <w:color w:val="000000" w:themeColor="text1"/>
              </w:rPr>
              <w:t xml:space="preserve"> (cf. canevas page 3).</w:t>
            </w:r>
          </w:p>
          <w:p w14:paraId="22DDBF90" w14:textId="77777777" w:rsidR="00A67A8C" w:rsidRDefault="00A67A8C" w:rsidP="00DB2AD0">
            <w:pPr>
              <w:jc w:val="both"/>
            </w:pPr>
          </w:p>
          <w:p w14:paraId="0AD28BE5" w14:textId="5D4DB606" w:rsidR="00DB2AD0" w:rsidRPr="004809EE" w:rsidRDefault="00DB2AD0" w:rsidP="00401B46">
            <w:pPr>
              <w:jc w:val="both"/>
              <w:rPr>
                <w:b/>
              </w:rPr>
            </w:pPr>
            <w:r w:rsidRPr="00114B1F">
              <w:rPr>
                <w:b/>
              </w:rPr>
              <w:t>Cette règle s’appliquera à compter du 1</w:t>
            </w:r>
            <w:r w:rsidRPr="00114B1F">
              <w:rPr>
                <w:b/>
                <w:vertAlign w:val="superscript"/>
              </w:rPr>
              <w:t>er</w:t>
            </w:r>
            <w:r w:rsidRPr="00114B1F">
              <w:rPr>
                <w:b/>
              </w:rPr>
              <w:t xml:space="preserve"> janvier 2022.</w:t>
            </w:r>
          </w:p>
        </w:tc>
      </w:tr>
    </w:tbl>
    <w:p w14:paraId="1876A32E" w14:textId="77777777" w:rsidR="00461712" w:rsidRPr="00114B1F" w:rsidRDefault="00461712" w:rsidP="00461712">
      <w:pPr>
        <w:rPr>
          <w:b/>
          <w:sz w:val="24"/>
        </w:rPr>
      </w:pPr>
    </w:p>
    <w:p w14:paraId="1A5ECB71" w14:textId="444CBCDE" w:rsidR="00461712" w:rsidRDefault="00461712" w:rsidP="00114B1F">
      <w:pPr>
        <w:pBdr>
          <w:bottom w:val="single" w:sz="6" w:space="1" w:color="auto"/>
        </w:pBdr>
        <w:rPr>
          <w:b/>
          <w:sz w:val="24"/>
        </w:rPr>
      </w:pPr>
      <w:r w:rsidRPr="00114B1F">
        <w:rPr>
          <w:b/>
          <w:sz w:val="24"/>
        </w:rPr>
        <w:t>Simplification du renouvellement sous conditions</w:t>
      </w:r>
      <w:r w:rsidR="00114B1F" w:rsidRPr="00114B1F">
        <w:rPr>
          <w:b/>
          <w:sz w:val="24"/>
        </w:rPr>
        <w:t xml:space="preserve"> (R.861-</w:t>
      </w:r>
      <w:r w:rsidR="003F455B" w:rsidRPr="00114B1F">
        <w:rPr>
          <w:b/>
          <w:sz w:val="24"/>
        </w:rPr>
        <w:t>1</w:t>
      </w:r>
      <w:r w:rsidR="003F455B">
        <w:rPr>
          <w:b/>
          <w:sz w:val="24"/>
        </w:rPr>
        <w:t>6-2</w:t>
      </w:r>
      <w:r w:rsidR="003F455B" w:rsidRPr="00114B1F">
        <w:rPr>
          <w:b/>
          <w:sz w:val="24"/>
        </w:rPr>
        <w:t xml:space="preserve"> </w:t>
      </w:r>
      <w:r w:rsidR="00114B1F" w:rsidRPr="00114B1F">
        <w:rPr>
          <w:b/>
          <w:sz w:val="24"/>
        </w:rPr>
        <w:t>du CSS)</w:t>
      </w:r>
    </w:p>
    <w:p w14:paraId="41AF7C93" w14:textId="210F46D1" w:rsidR="00114B1F" w:rsidRPr="00114B1F" w:rsidRDefault="00114B1F" w:rsidP="00114B1F">
      <w:pPr>
        <w:jc w:val="both"/>
        <w:rPr>
          <w:i/>
          <w:sz w:val="20"/>
        </w:rPr>
      </w:pPr>
      <w:r w:rsidRPr="00114B1F">
        <w:rPr>
          <w:i/>
          <w:sz w:val="20"/>
        </w:rPr>
        <w:t>Dès lors que la situation du foyer n’a pas changé entre le droit antérieur et le droit renouvelé (</w:t>
      </w:r>
      <w:r w:rsidRPr="00114B1F">
        <w:rPr>
          <w:b/>
          <w:i/>
          <w:sz w:val="20"/>
        </w:rPr>
        <w:t>composition du foyer, montant annuel des participations et choix d’organisme complémentaire</w:t>
      </w:r>
      <w:r w:rsidRPr="00114B1F">
        <w:rPr>
          <w:i/>
          <w:sz w:val="20"/>
        </w:rPr>
        <w:t>), celui-ci ne sera pas tenu de renvoyer le bulletin d’adhésion ni le mandat de prélèvement pour bénéficier de son droit.</w:t>
      </w:r>
    </w:p>
    <w:p w14:paraId="044AFB08" w14:textId="68FCFAC4" w:rsidR="00DB2AD0" w:rsidRPr="00DB2AD0" w:rsidRDefault="00DB2AD0" w:rsidP="00DB2AD0">
      <w:pPr>
        <w:jc w:val="both"/>
        <w:rPr>
          <w:i/>
          <w:sz w:val="20"/>
        </w:rPr>
      </w:pPr>
    </w:p>
    <w:tbl>
      <w:tblPr>
        <w:tblStyle w:val="Grilledutableau"/>
        <w:tblW w:w="9085" w:type="dxa"/>
        <w:tbl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blBorders>
        <w:tblLook w:val="04A0" w:firstRow="1" w:lastRow="0" w:firstColumn="1" w:lastColumn="0" w:noHBand="0" w:noVBand="1"/>
      </w:tblPr>
      <w:tblGrid>
        <w:gridCol w:w="9085"/>
      </w:tblGrid>
      <w:tr w:rsidR="00350986" w14:paraId="61152951" w14:textId="77777777" w:rsidTr="00AF339A">
        <w:trPr>
          <w:trHeight w:val="674"/>
        </w:trPr>
        <w:tc>
          <w:tcPr>
            <w:tcW w:w="9085" w:type="dxa"/>
          </w:tcPr>
          <w:p w14:paraId="5350112C" w14:textId="2966D3C6" w:rsidR="004770DE" w:rsidRPr="00E353D2" w:rsidRDefault="00350986" w:rsidP="00E353D2">
            <w:pPr>
              <w:jc w:val="center"/>
              <w:rPr>
                <w:b/>
                <w:color w:val="2E74B5" w:themeColor="accent1" w:themeShade="BF"/>
                <w:u w:val="single"/>
              </w:rPr>
            </w:pPr>
            <w:r w:rsidRPr="00317EAA">
              <w:rPr>
                <w:b/>
                <w:color w:val="2E74B5" w:themeColor="accent1" w:themeShade="BF"/>
                <w:u w:val="single"/>
              </w:rPr>
              <w:t>Modifications </w:t>
            </w:r>
            <w:r>
              <w:rPr>
                <w:b/>
                <w:color w:val="2E74B5" w:themeColor="accent1" w:themeShade="BF"/>
                <w:u w:val="single"/>
              </w:rPr>
              <w:t>dans le décret</w:t>
            </w:r>
          </w:p>
          <w:p w14:paraId="1CAD4EFD" w14:textId="77777777" w:rsidR="00E353D2" w:rsidRDefault="00E353D2" w:rsidP="004770DE">
            <w:pPr>
              <w:spacing w:after="160" w:line="259" w:lineRule="auto"/>
              <w:jc w:val="both"/>
              <w:rPr>
                <w:i/>
                <w:sz w:val="20"/>
              </w:rPr>
            </w:pPr>
          </w:p>
          <w:p w14:paraId="23091699" w14:textId="68D70A26" w:rsidR="004770DE" w:rsidRPr="004770DE" w:rsidRDefault="004770DE" w:rsidP="004770DE">
            <w:pPr>
              <w:spacing w:after="160" w:line="259" w:lineRule="auto"/>
              <w:jc w:val="both"/>
              <w:rPr>
                <w:i/>
                <w:sz w:val="20"/>
              </w:rPr>
            </w:pPr>
            <w:r w:rsidRPr="004770DE">
              <w:rPr>
                <w:i/>
                <w:sz w:val="20"/>
              </w:rPr>
              <w:t xml:space="preserve">7° L’article R. 861-16-2 est complété par un alinéa ainsi rédigé : </w:t>
            </w:r>
          </w:p>
          <w:p w14:paraId="56B7B7DB" w14:textId="1778E5EC" w:rsidR="00350986" w:rsidRPr="00E353D2" w:rsidRDefault="004770DE" w:rsidP="00E353D2">
            <w:pPr>
              <w:spacing w:after="160" w:line="259" w:lineRule="auto"/>
              <w:jc w:val="both"/>
              <w:rPr>
                <w:i/>
                <w:sz w:val="20"/>
              </w:rPr>
            </w:pPr>
            <w:r w:rsidRPr="004770DE">
              <w:rPr>
                <w:i/>
                <w:sz w:val="20"/>
              </w:rPr>
              <w:t xml:space="preserve">«  III. – En cas de renouvellement de la protection complémentaire en matière de santé dans les conditions prévues à l’article R. 861-18, le demandeur n’est pas tenu d’adresser à l’organisme gestionnaire les documents mentionnés au I s’il a toujours droit à la protection complémentaire au titre du 2° de l'article L. 861-1 sans </w:t>
            </w:r>
            <w:r w:rsidRPr="004770DE">
              <w:rPr>
                <w:i/>
                <w:sz w:val="20"/>
              </w:rPr>
              <w:lastRenderedPageBreak/>
              <w:t xml:space="preserve">modification du montant annuel de la participation financière due par le foyer et s’il ne change pas d’organisme gestionnaire. » ; </w:t>
            </w:r>
          </w:p>
        </w:tc>
      </w:tr>
      <w:tr w:rsidR="00DB2AD0" w14:paraId="677349C3" w14:textId="77777777" w:rsidTr="00AF339A">
        <w:trPr>
          <w:trHeight w:val="674"/>
        </w:trPr>
        <w:tc>
          <w:tcPr>
            <w:tcW w:w="9085" w:type="dxa"/>
          </w:tcPr>
          <w:p w14:paraId="4B8D1D66" w14:textId="699D7108" w:rsidR="00DB2AD0" w:rsidRDefault="00DB2AD0" w:rsidP="00401B46">
            <w:pPr>
              <w:jc w:val="center"/>
              <w:rPr>
                <w:b/>
                <w:color w:val="2E74B5" w:themeColor="accent1" w:themeShade="BF"/>
                <w:u w:val="single"/>
              </w:rPr>
            </w:pPr>
          </w:p>
          <w:p w14:paraId="7FADB46F" w14:textId="77777777" w:rsidR="00DB2AD0" w:rsidRPr="00114B1F" w:rsidRDefault="00DB2AD0" w:rsidP="00401B46">
            <w:pPr>
              <w:jc w:val="center"/>
              <w:rPr>
                <w:b/>
                <w:color w:val="2E74B5" w:themeColor="accent1" w:themeShade="BF"/>
                <w:u w:val="single"/>
              </w:rPr>
            </w:pPr>
            <w:r w:rsidRPr="00114B1F">
              <w:rPr>
                <w:b/>
                <w:color w:val="2E74B5" w:themeColor="accent1" w:themeShade="BF"/>
                <w:u w:val="single"/>
              </w:rPr>
              <w:t>Modalités opérationnelles</w:t>
            </w:r>
          </w:p>
          <w:p w14:paraId="41B94780" w14:textId="77777777" w:rsidR="0074207A" w:rsidRDefault="0074207A" w:rsidP="00DB2AD0">
            <w:pPr>
              <w:jc w:val="both"/>
              <w:rPr>
                <w:b/>
              </w:rPr>
            </w:pPr>
          </w:p>
          <w:p w14:paraId="10C58554" w14:textId="41DE9928" w:rsidR="0074207A" w:rsidRDefault="0074207A" w:rsidP="00DB2AD0">
            <w:pPr>
              <w:jc w:val="both"/>
              <w:rPr>
                <w:b/>
              </w:rPr>
            </w:pPr>
            <w:r>
              <w:rPr>
                <w:b/>
              </w:rPr>
              <w:t xml:space="preserve">La simplification du renouvellement sous conditions </w:t>
            </w:r>
            <w:r w:rsidR="00E57BB4">
              <w:rPr>
                <w:b/>
              </w:rPr>
              <w:t xml:space="preserve">concerne </w:t>
            </w:r>
            <w:r w:rsidR="00E57BB4" w:rsidRPr="00E57BB4">
              <w:rPr>
                <w:b/>
                <w:u w:val="single"/>
              </w:rPr>
              <w:t>tous</w:t>
            </w:r>
            <w:r w:rsidR="00E57BB4">
              <w:rPr>
                <w:b/>
              </w:rPr>
              <w:t xml:space="preserve"> les bénéficiaires de la complémentaire santé solidaire qui rentrent dans le champ d’application (conditions </w:t>
            </w:r>
            <w:r w:rsidR="003F1283">
              <w:rPr>
                <w:b/>
              </w:rPr>
              <w:t>listées ci-dessous</w:t>
            </w:r>
            <w:r w:rsidR="00E57BB4">
              <w:rPr>
                <w:b/>
              </w:rPr>
              <w:t xml:space="preserve">).  </w:t>
            </w:r>
          </w:p>
          <w:p w14:paraId="76AB6D43" w14:textId="77777777" w:rsidR="00E57BB4" w:rsidRDefault="00E57BB4" w:rsidP="00DB2AD0">
            <w:pPr>
              <w:jc w:val="both"/>
              <w:rPr>
                <w:b/>
              </w:rPr>
            </w:pPr>
          </w:p>
          <w:p w14:paraId="60D9DF5A" w14:textId="5DDAA90B" w:rsidR="006C7509" w:rsidRPr="00257C94" w:rsidRDefault="006C7509" w:rsidP="00DB2AD0">
            <w:pPr>
              <w:jc w:val="both"/>
              <w:rPr>
                <w:color w:val="000000" w:themeColor="text1"/>
                <w:u w:val="single"/>
              </w:rPr>
            </w:pPr>
            <w:r w:rsidRPr="00257C94">
              <w:t xml:space="preserve">L’organisme </w:t>
            </w:r>
            <w:r w:rsidRPr="00257C94">
              <w:rPr>
                <w:color w:val="000000" w:themeColor="text1"/>
              </w:rPr>
              <w:t>gestionnaire devra vérifier lui-même les conditions de renouvellement simplifié</w:t>
            </w:r>
            <w:r w:rsidR="005232E6" w:rsidRPr="00257C94">
              <w:t>, la CNAM n’ayant pas connaissance des droits de complémentaire santé solidaire effectivement ouverts lors de l’envoi du bulletin d’adhésion</w:t>
            </w:r>
            <w:r w:rsidR="003F455B">
              <w:t xml:space="preserve"> par l’assuré</w:t>
            </w:r>
            <w:r w:rsidR="005232E6" w:rsidRPr="00257C94">
              <w:t xml:space="preserve"> à l’OC</w:t>
            </w:r>
            <w:r w:rsidR="0074207A" w:rsidRPr="00257C94">
              <w:rPr>
                <w:color w:val="000000" w:themeColor="text1"/>
              </w:rPr>
              <w:t xml:space="preserve">. </w:t>
            </w:r>
            <w:r w:rsidRPr="00257C94">
              <w:rPr>
                <w:b/>
                <w:color w:val="000000" w:themeColor="text1"/>
                <w:u w:val="single"/>
              </w:rPr>
              <w:t xml:space="preserve">Si ces conditions sont vérifiées, l’organisme ne sera </w:t>
            </w:r>
            <w:r w:rsidR="00E57BB4" w:rsidRPr="00257C94">
              <w:rPr>
                <w:b/>
                <w:color w:val="000000" w:themeColor="text1"/>
                <w:u w:val="single"/>
              </w:rPr>
              <w:t>pas</w:t>
            </w:r>
            <w:r w:rsidRPr="00257C94">
              <w:rPr>
                <w:b/>
                <w:color w:val="000000" w:themeColor="text1"/>
                <w:u w:val="single"/>
              </w:rPr>
              <w:t xml:space="preserve"> tenu d’envoyer le bulletin d’adhésion et le m</w:t>
            </w:r>
            <w:r w:rsidR="00E57BB4" w:rsidRPr="00257C94">
              <w:rPr>
                <w:b/>
                <w:color w:val="000000" w:themeColor="text1"/>
                <w:u w:val="single"/>
              </w:rPr>
              <w:t>andat de prélèvement à l’assuré puisque celui-ci n’aura plus à les remplir pour que son droit soit renouvelé.</w:t>
            </w:r>
            <w:r w:rsidR="00E57BB4" w:rsidRPr="00257C94">
              <w:rPr>
                <w:color w:val="000000" w:themeColor="text1"/>
                <w:u w:val="single"/>
              </w:rPr>
              <w:t xml:space="preserve"> </w:t>
            </w:r>
          </w:p>
          <w:p w14:paraId="23578C54" w14:textId="77777777" w:rsidR="006C7509" w:rsidRPr="006B3211" w:rsidRDefault="006C7509" w:rsidP="00DB2AD0">
            <w:pPr>
              <w:jc w:val="both"/>
              <w:rPr>
                <w:b/>
                <w:color w:val="000000" w:themeColor="text1"/>
              </w:rPr>
            </w:pPr>
          </w:p>
          <w:p w14:paraId="7C91E6C4" w14:textId="4FEC05A5" w:rsidR="00AF339A" w:rsidRPr="00257C94" w:rsidRDefault="003C2508" w:rsidP="00DB2AD0">
            <w:pPr>
              <w:jc w:val="both"/>
              <w:rPr>
                <w:bCs/>
                <w:color w:val="000000" w:themeColor="text1"/>
              </w:rPr>
            </w:pPr>
            <w:r w:rsidRPr="00257C94">
              <w:rPr>
                <w:color w:val="000000" w:themeColor="text1"/>
              </w:rPr>
              <w:t xml:space="preserve">Pour les assurés qui valident les conditions, </w:t>
            </w:r>
            <w:r w:rsidR="00B25CD4" w:rsidRPr="00257C94">
              <w:rPr>
                <w:color w:val="000000" w:themeColor="text1"/>
              </w:rPr>
              <w:t>l’organisme</w:t>
            </w:r>
            <w:r w:rsidR="00DB2AD0" w:rsidRPr="00257C94">
              <w:rPr>
                <w:color w:val="000000" w:themeColor="text1"/>
              </w:rPr>
              <w:t xml:space="preserve"> gestionnaire devra </w:t>
            </w:r>
            <w:r w:rsidRPr="00257C94">
              <w:rPr>
                <w:bCs/>
                <w:color w:val="000000" w:themeColor="text1"/>
              </w:rPr>
              <w:t>l’avertir</w:t>
            </w:r>
            <w:r w:rsidR="00DB2AD0" w:rsidRPr="00257C94">
              <w:rPr>
                <w:bCs/>
                <w:color w:val="000000" w:themeColor="text1"/>
              </w:rPr>
              <w:t xml:space="preserve"> que son droit est renouvelé de manière simplifié</w:t>
            </w:r>
            <w:r w:rsidR="007809BF" w:rsidRPr="00257C94">
              <w:rPr>
                <w:bCs/>
                <w:color w:val="000000" w:themeColor="text1"/>
              </w:rPr>
              <w:t>, sans qu’il ait besoin de retourner le mandat</w:t>
            </w:r>
            <w:r w:rsidRPr="00257C94">
              <w:rPr>
                <w:bCs/>
                <w:color w:val="000000" w:themeColor="text1"/>
              </w:rPr>
              <w:t xml:space="preserve"> et de remplir un nouveau bulletin d’adhésion : cette information devra être envoyée par l’organisme complémentaire gestionnaire </w:t>
            </w:r>
            <w:r w:rsidR="00AF339A" w:rsidRPr="00257C94">
              <w:rPr>
                <w:bCs/>
                <w:color w:val="000000" w:themeColor="text1"/>
              </w:rPr>
              <w:t xml:space="preserve">par courrier </w:t>
            </w:r>
            <w:r w:rsidR="00AF339A" w:rsidRPr="00257C94">
              <w:rPr>
                <w:b/>
                <w:bCs/>
                <w:color w:val="000000" w:themeColor="text1"/>
                <w:u w:val="single"/>
              </w:rPr>
              <w:t>à la place de l’envoi habituel du bulletin d’adhésion et du mandat de prélèvement</w:t>
            </w:r>
            <w:r w:rsidR="00AF339A" w:rsidRPr="00257C94">
              <w:rPr>
                <w:b/>
                <w:bCs/>
                <w:color w:val="000000" w:themeColor="text1"/>
              </w:rPr>
              <w:t xml:space="preserve"> </w:t>
            </w:r>
            <w:r w:rsidR="00AF339A" w:rsidRPr="00257C94">
              <w:rPr>
                <w:bCs/>
                <w:color w:val="000000" w:themeColor="text1"/>
              </w:rPr>
              <w:t>que l’assuré doit retourner à l’organisme complémentaire.</w:t>
            </w:r>
          </w:p>
          <w:p w14:paraId="5F5BCA1D" w14:textId="14A9D27C" w:rsidR="00AF339A" w:rsidRPr="006B3211" w:rsidRDefault="00AF339A" w:rsidP="00DB2AD0">
            <w:pPr>
              <w:jc w:val="both"/>
              <w:rPr>
                <w:b/>
                <w:bCs/>
                <w:color w:val="000000" w:themeColor="text1"/>
              </w:rPr>
            </w:pPr>
          </w:p>
          <w:p w14:paraId="51FCABC6" w14:textId="60B5F42E" w:rsidR="00AF339A" w:rsidRPr="006B3211" w:rsidRDefault="00477EE8" w:rsidP="00DB2AD0">
            <w:pPr>
              <w:jc w:val="both"/>
              <w:rPr>
                <w:bCs/>
                <w:color w:val="000000" w:themeColor="text1"/>
              </w:rPr>
            </w:pPr>
            <w:r w:rsidRPr="006B3211">
              <w:rPr>
                <w:bCs/>
                <w:color w:val="000000" w:themeColor="text1"/>
              </w:rPr>
              <w:t>Concernant</w:t>
            </w:r>
            <w:r w:rsidR="00AF339A" w:rsidRPr="006B3211">
              <w:rPr>
                <w:bCs/>
                <w:color w:val="000000" w:themeColor="text1"/>
              </w:rPr>
              <w:t xml:space="preserve"> les conditions</w:t>
            </w:r>
            <w:r w:rsidR="003F455B">
              <w:rPr>
                <w:bCs/>
                <w:color w:val="000000" w:themeColor="text1"/>
              </w:rPr>
              <w:t xml:space="preserve"> permettant ce renouvellement simplifié</w:t>
            </w:r>
            <w:r w:rsidR="00AF339A" w:rsidRPr="006B3211">
              <w:rPr>
                <w:bCs/>
                <w:color w:val="000000" w:themeColor="text1"/>
              </w:rPr>
              <w:t> :</w:t>
            </w:r>
          </w:p>
          <w:p w14:paraId="3461A3DD" w14:textId="79DD9D2E" w:rsidR="00AF339A" w:rsidRPr="006B3211" w:rsidRDefault="00AF339A" w:rsidP="00AF339A">
            <w:pPr>
              <w:pStyle w:val="Paragraphedeliste"/>
              <w:numPr>
                <w:ilvl w:val="0"/>
                <w:numId w:val="11"/>
              </w:numPr>
              <w:jc w:val="both"/>
              <w:rPr>
                <w:bCs/>
                <w:color w:val="000000" w:themeColor="text1"/>
              </w:rPr>
            </w:pPr>
            <w:r w:rsidRPr="006B3211">
              <w:rPr>
                <w:bCs/>
                <w:color w:val="000000" w:themeColor="text1"/>
              </w:rPr>
              <w:t xml:space="preserve">L’organisme </w:t>
            </w:r>
            <w:r w:rsidR="00A91F07" w:rsidRPr="006B3211">
              <w:rPr>
                <w:bCs/>
                <w:color w:val="000000" w:themeColor="text1"/>
              </w:rPr>
              <w:t>gestionnaire reste le même.</w:t>
            </w:r>
          </w:p>
          <w:p w14:paraId="7734B3B7" w14:textId="3553B550" w:rsidR="00A91F07" w:rsidRPr="006B3211" w:rsidRDefault="00A91F07" w:rsidP="00AF339A">
            <w:pPr>
              <w:pStyle w:val="Paragraphedeliste"/>
              <w:numPr>
                <w:ilvl w:val="0"/>
                <w:numId w:val="11"/>
              </w:numPr>
              <w:jc w:val="both"/>
              <w:rPr>
                <w:bCs/>
                <w:color w:val="000000" w:themeColor="text1"/>
              </w:rPr>
            </w:pPr>
            <w:r w:rsidRPr="006B3211">
              <w:rPr>
                <w:bCs/>
                <w:color w:val="000000" w:themeColor="text1"/>
              </w:rPr>
              <w:t>La composition du foyer reste la même (même nombre de bénéficiaires sur le contrat). Autrement dit, lors du renouvellement, l’ajout d’un enfant ou la suppression d’un ayant-droit entraine une non validation de la condition : la simplification du renouvellement ne s’applique pas.</w:t>
            </w:r>
          </w:p>
          <w:p w14:paraId="7A26B160" w14:textId="1FBAA688" w:rsidR="00A91F07" w:rsidRPr="006B3211" w:rsidRDefault="00A91F07" w:rsidP="00AF339A">
            <w:pPr>
              <w:pStyle w:val="Paragraphedeliste"/>
              <w:numPr>
                <w:ilvl w:val="0"/>
                <w:numId w:val="11"/>
              </w:numPr>
              <w:jc w:val="both"/>
              <w:rPr>
                <w:bCs/>
                <w:color w:val="000000" w:themeColor="text1"/>
              </w:rPr>
            </w:pPr>
            <w:r w:rsidRPr="006B3211">
              <w:rPr>
                <w:bCs/>
                <w:color w:val="000000" w:themeColor="text1"/>
              </w:rPr>
              <w:t>Le montant annuel des participations : au moment de la demande, l’âge du bénéficiaire est indiqué. Dans le cas où au moins un des bénéficiaires figurant sur le contrat change de tranche d’âge définissant la participation financière, la simplification du renouvellement ne peut pas s’appliquer : l’organisme gestionnaire est obligé de lui envoyer un BA et un mandat de prélèvement</w:t>
            </w:r>
            <w:r w:rsidR="00350986">
              <w:rPr>
                <w:bCs/>
                <w:color w:val="000000" w:themeColor="text1"/>
              </w:rPr>
              <w:t xml:space="preserve"> (en cas de complémentaire santé solidaire avec participation financière)</w:t>
            </w:r>
            <w:r w:rsidRPr="006B3211">
              <w:rPr>
                <w:bCs/>
                <w:color w:val="000000" w:themeColor="text1"/>
              </w:rPr>
              <w:t>, que l’assuré devra renvoyer.</w:t>
            </w:r>
          </w:p>
          <w:p w14:paraId="47FBEB3D" w14:textId="267C5C8D" w:rsidR="00AF339A" w:rsidRPr="006B3211" w:rsidRDefault="00AF339A" w:rsidP="00DB2AD0">
            <w:pPr>
              <w:jc w:val="both"/>
              <w:rPr>
                <w:b/>
                <w:bCs/>
                <w:color w:val="000000" w:themeColor="text1"/>
              </w:rPr>
            </w:pPr>
          </w:p>
          <w:p w14:paraId="0BF75B74" w14:textId="69C80D10" w:rsidR="00AF339A" w:rsidRPr="006B3211" w:rsidRDefault="00A91F07" w:rsidP="00DB2AD0">
            <w:pPr>
              <w:jc w:val="both"/>
              <w:rPr>
                <w:bCs/>
                <w:color w:val="000000" w:themeColor="text1"/>
              </w:rPr>
            </w:pPr>
            <w:r w:rsidRPr="006B3211">
              <w:rPr>
                <w:bCs/>
                <w:color w:val="000000" w:themeColor="text1"/>
              </w:rPr>
              <w:t xml:space="preserve">Un </w:t>
            </w:r>
            <w:r w:rsidRPr="006B3211">
              <w:rPr>
                <w:b/>
                <w:bCs/>
                <w:color w:val="000000" w:themeColor="text1"/>
              </w:rPr>
              <w:t>délai de rétractation</w:t>
            </w:r>
            <w:r w:rsidRPr="006B3211">
              <w:rPr>
                <w:bCs/>
                <w:color w:val="000000" w:themeColor="text1"/>
              </w:rPr>
              <w:t xml:space="preserve"> pour l’assuré </w:t>
            </w:r>
            <w:r w:rsidRPr="00350986">
              <w:rPr>
                <w:b/>
                <w:bCs/>
                <w:color w:val="000000" w:themeColor="text1"/>
              </w:rPr>
              <w:t>n’est pas envisagé</w:t>
            </w:r>
            <w:r w:rsidRPr="006B3211">
              <w:rPr>
                <w:bCs/>
                <w:color w:val="000000" w:themeColor="text1"/>
              </w:rPr>
              <w:t xml:space="preserve"> puisque : </w:t>
            </w:r>
          </w:p>
          <w:p w14:paraId="3AAA1127" w14:textId="2F97A4E3" w:rsidR="00A91F07" w:rsidRPr="006B3211" w:rsidRDefault="00A91F07" w:rsidP="00A91F07">
            <w:pPr>
              <w:pStyle w:val="Paragraphedeliste"/>
              <w:numPr>
                <w:ilvl w:val="0"/>
                <w:numId w:val="11"/>
              </w:numPr>
              <w:jc w:val="both"/>
              <w:rPr>
                <w:bCs/>
                <w:color w:val="000000" w:themeColor="text1"/>
              </w:rPr>
            </w:pPr>
            <w:r w:rsidRPr="006B3211">
              <w:rPr>
                <w:bCs/>
                <w:color w:val="000000" w:themeColor="text1"/>
              </w:rPr>
              <w:t>L’assuré a dép</w:t>
            </w:r>
            <w:r w:rsidR="00E87586" w:rsidRPr="006B3211">
              <w:rPr>
                <w:bCs/>
                <w:color w:val="000000" w:themeColor="text1"/>
              </w:rPr>
              <w:t>osé une demande</w:t>
            </w:r>
            <w:r w:rsidR="003F1283" w:rsidRPr="006B3211">
              <w:rPr>
                <w:bCs/>
                <w:color w:val="000000" w:themeColor="text1"/>
              </w:rPr>
              <w:t xml:space="preserve"> de</w:t>
            </w:r>
            <w:r w:rsidR="00E87586" w:rsidRPr="006B3211">
              <w:rPr>
                <w:bCs/>
                <w:color w:val="000000" w:themeColor="text1"/>
              </w:rPr>
              <w:t xml:space="preserve"> renouvellement</w:t>
            </w:r>
            <w:r w:rsidR="005232E6">
              <w:rPr>
                <w:bCs/>
                <w:color w:val="000000" w:themeColor="text1"/>
              </w:rPr>
              <w:t xml:space="preserve"> de son droit</w:t>
            </w:r>
            <w:r w:rsidR="00E87586" w:rsidRPr="006B3211">
              <w:rPr>
                <w:bCs/>
                <w:color w:val="000000" w:themeColor="text1"/>
              </w:rPr>
              <w:t>,</w:t>
            </w:r>
            <w:r w:rsidR="00502B91">
              <w:rPr>
                <w:bCs/>
                <w:color w:val="000000" w:themeColor="text1"/>
              </w:rPr>
              <w:t xml:space="preserve"> ou n’a pas refusé le renouvellement automatique </w:t>
            </w:r>
            <w:r w:rsidR="0071458A">
              <w:rPr>
                <w:bCs/>
                <w:color w:val="000000" w:themeColor="text1"/>
              </w:rPr>
              <w:t>dans le délai d’un mois</w:t>
            </w:r>
            <w:r w:rsidR="00E87586" w:rsidRPr="006B3211">
              <w:rPr>
                <w:bCs/>
                <w:color w:val="000000" w:themeColor="text1"/>
              </w:rPr>
              <w:t xml:space="preserve"> </w:t>
            </w:r>
          </w:p>
          <w:p w14:paraId="7469E35B" w14:textId="132685C0" w:rsidR="00A91F07" w:rsidRPr="006B3211" w:rsidRDefault="00A91F07" w:rsidP="00A91F07">
            <w:pPr>
              <w:pStyle w:val="Paragraphedeliste"/>
              <w:numPr>
                <w:ilvl w:val="0"/>
                <w:numId w:val="11"/>
              </w:numPr>
              <w:jc w:val="both"/>
              <w:rPr>
                <w:bCs/>
                <w:color w:val="000000" w:themeColor="text1"/>
              </w:rPr>
            </w:pPr>
            <w:r w:rsidRPr="006B3211">
              <w:rPr>
                <w:bCs/>
                <w:color w:val="000000" w:themeColor="text1"/>
              </w:rPr>
              <w:t>L’assuré aura la possibilité d’interrompre son contrat de complémentaire santé solidaire à partir du 1</w:t>
            </w:r>
            <w:r w:rsidRPr="006B3211">
              <w:rPr>
                <w:bCs/>
                <w:color w:val="000000" w:themeColor="text1"/>
                <w:vertAlign w:val="superscript"/>
              </w:rPr>
              <w:t>er</w:t>
            </w:r>
            <w:r w:rsidRPr="006B3211">
              <w:rPr>
                <w:bCs/>
                <w:color w:val="000000" w:themeColor="text1"/>
              </w:rPr>
              <w:t xml:space="preserve"> </w:t>
            </w:r>
            <w:r w:rsidR="00E307AD">
              <w:rPr>
                <w:bCs/>
                <w:color w:val="000000" w:themeColor="text1"/>
              </w:rPr>
              <w:t>avril</w:t>
            </w:r>
            <w:r w:rsidR="00E307AD" w:rsidRPr="006B3211">
              <w:rPr>
                <w:bCs/>
                <w:color w:val="000000" w:themeColor="text1"/>
              </w:rPr>
              <w:t xml:space="preserve"> </w:t>
            </w:r>
            <w:r w:rsidRPr="006B3211">
              <w:rPr>
                <w:bCs/>
                <w:color w:val="000000" w:themeColor="text1"/>
              </w:rPr>
              <w:t>2022</w:t>
            </w:r>
            <w:r w:rsidR="00E307AD">
              <w:rPr>
                <w:bCs/>
                <w:color w:val="000000" w:themeColor="text1"/>
              </w:rPr>
              <w:t xml:space="preserve"> (cf. mesures de la LFSS 2022)</w:t>
            </w:r>
          </w:p>
          <w:p w14:paraId="0B40D40B" w14:textId="33372238" w:rsidR="00E87586" w:rsidRPr="005232E6" w:rsidRDefault="005232E6" w:rsidP="00E87586">
            <w:pPr>
              <w:jc w:val="both"/>
            </w:pPr>
            <w:r>
              <w:t xml:space="preserve">Cette simplification s’applique y compris pour les renouvellements tardifs, l’assuré ayant fait une demande et ayant la possibilité de l’interrompre si besoin. </w:t>
            </w:r>
            <w:r w:rsidRPr="005232E6">
              <w:t xml:space="preserve">En cas de renouvellement tardif, le droit pourra être interrompu comme prévu </w:t>
            </w:r>
            <w:r w:rsidR="003F455B">
              <w:t xml:space="preserve">avec </w:t>
            </w:r>
            <w:r w:rsidRPr="005232E6">
              <w:t>la LFSS 2022.</w:t>
            </w:r>
          </w:p>
          <w:p w14:paraId="115DD84F" w14:textId="020FD93B" w:rsidR="00E57BB4" w:rsidRDefault="00E57BB4" w:rsidP="00DB2AD0">
            <w:pPr>
              <w:jc w:val="both"/>
            </w:pPr>
          </w:p>
          <w:p w14:paraId="2C4DC667" w14:textId="4AA70A7F" w:rsidR="000E18CD" w:rsidRDefault="002F1616" w:rsidP="000E18CD">
            <w:pPr>
              <w:jc w:val="both"/>
            </w:pPr>
            <w:r>
              <w:t>L</w:t>
            </w:r>
            <w:r w:rsidR="008D0C6E">
              <w:t xml:space="preserve">e </w:t>
            </w:r>
            <w:r w:rsidR="008D0C6E" w:rsidRPr="00D02BC8">
              <w:rPr>
                <w:b/>
              </w:rPr>
              <w:t xml:space="preserve">droit </w:t>
            </w:r>
            <w:r w:rsidR="00D02BC8" w:rsidRPr="00D02BC8">
              <w:rPr>
                <w:b/>
              </w:rPr>
              <w:t>est renouvelé</w:t>
            </w:r>
            <w:r w:rsidR="008D0C6E" w:rsidRPr="00D02BC8">
              <w:rPr>
                <w:b/>
              </w:rPr>
              <w:t xml:space="preserve"> à compter du premier jour du mois suivant l’expiration du droit précédent</w:t>
            </w:r>
            <w:r w:rsidR="008D0C6E">
              <w:t>.</w:t>
            </w:r>
          </w:p>
          <w:p w14:paraId="1227768B" w14:textId="77777777" w:rsidR="000E18CD" w:rsidRPr="006B3211" w:rsidRDefault="000E18CD" w:rsidP="000E18CD">
            <w:pPr>
              <w:jc w:val="both"/>
              <w:rPr>
                <w:color w:val="000000" w:themeColor="text1"/>
              </w:rPr>
            </w:pPr>
          </w:p>
          <w:p w14:paraId="53900F58" w14:textId="1DF18927" w:rsidR="00DB2AD0" w:rsidRPr="006B3211" w:rsidRDefault="00DB2AD0" w:rsidP="00DB2AD0">
            <w:pPr>
              <w:jc w:val="both"/>
              <w:rPr>
                <w:color w:val="000000" w:themeColor="text1"/>
              </w:rPr>
            </w:pPr>
            <w:r w:rsidRPr="006B3211">
              <w:rPr>
                <w:color w:val="000000" w:themeColor="text1"/>
              </w:rPr>
              <w:t xml:space="preserve">Cette </w:t>
            </w:r>
            <w:r w:rsidRPr="006B3211">
              <w:rPr>
                <w:b/>
                <w:color w:val="000000" w:themeColor="text1"/>
              </w:rPr>
              <w:t xml:space="preserve">simplification du renouvellement de la complémentaire santé solidaire ne s’applique qu’en cas de </w:t>
            </w:r>
            <w:r w:rsidRPr="006B3211">
              <w:rPr>
                <w:b/>
                <w:bCs/>
                <w:color w:val="000000" w:themeColor="text1"/>
              </w:rPr>
              <w:t>prélèvements bancaires</w:t>
            </w:r>
            <w:r w:rsidRPr="006B3211">
              <w:rPr>
                <w:color w:val="000000" w:themeColor="text1"/>
              </w:rPr>
              <w:t>.</w:t>
            </w:r>
          </w:p>
          <w:p w14:paraId="58A97337" w14:textId="2EE9668D" w:rsidR="00DB2AD0" w:rsidRPr="006B3211" w:rsidRDefault="00DB2AD0" w:rsidP="00401B46">
            <w:pPr>
              <w:jc w:val="both"/>
              <w:rPr>
                <w:color w:val="000000" w:themeColor="text1"/>
              </w:rPr>
            </w:pPr>
          </w:p>
          <w:p w14:paraId="3044C4C0" w14:textId="0881DAC6" w:rsidR="00DB2AD0" w:rsidRPr="006B3211" w:rsidRDefault="00DB2AD0" w:rsidP="00CE2986">
            <w:pPr>
              <w:jc w:val="both"/>
              <w:rPr>
                <w:b/>
                <w:color w:val="000000" w:themeColor="text1"/>
              </w:rPr>
            </w:pPr>
            <w:r w:rsidRPr="006B3211">
              <w:rPr>
                <w:b/>
                <w:color w:val="000000" w:themeColor="text1"/>
              </w:rPr>
              <w:t>Cette règle s’appliquera à compter du 1</w:t>
            </w:r>
            <w:r w:rsidRPr="006B3211">
              <w:rPr>
                <w:b/>
                <w:color w:val="000000" w:themeColor="text1"/>
                <w:vertAlign w:val="superscript"/>
              </w:rPr>
              <w:t>er</w:t>
            </w:r>
            <w:r w:rsidRPr="006B3211">
              <w:rPr>
                <w:b/>
                <w:color w:val="000000" w:themeColor="text1"/>
              </w:rPr>
              <w:t xml:space="preserve"> </w:t>
            </w:r>
            <w:r w:rsidR="00AB1D49">
              <w:rPr>
                <w:b/>
                <w:color w:val="000000" w:themeColor="text1"/>
              </w:rPr>
              <w:t>avril</w:t>
            </w:r>
            <w:r w:rsidR="00AB1D49" w:rsidRPr="006B3211">
              <w:rPr>
                <w:b/>
                <w:color w:val="000000" w:themeColor="text1"/>
              </w:rPr>
              <w:t xml:space="preserve"> </w:t>
            </w:r>
            <w:r w:rsidRPr="006B3211">
              <w:rPr>
                <w:b/>
                <w:color w:val="000000" w:themeColor="text1"/>
              </w:rPr>
              <w:t>2022.</w:t>
            </w:r>
          </w:p>
          <w:p w14:paraId="2896108B" w14:textId="665D9C5F" w:rsidR="00E87586" w:rsidRPr="00DB78A0" w:rsidRDefault="00E87586" w:rsidP="00CE2986">
            <w:pPr>
              <w:jc w:val="both"/>
              <w:rPr>
                <w:b/>
              </w:rPr>
            </w:pPr>
          </w:p>
        </w:tc>
      </w:tr>
    </w:tbl>
    <w:p w14:paraId="50C4FE8A" w14:textId="154E9DB4" w:rsidR="004720E7" w:rsidRPr="00461712" w:rsidRDefault="004720E7" w:rsidP="00461712">
      <w:pPr>
        <w:jc w:val="both"/>
        <w:rPr>
          <w:b/>
        </w:rPr>
      </w:pPr>
    </w:p>
    <w:sectPr w:rsidR="004720E7" w:rsidRPr="0046171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78E87" w14:textId="77777777" w:rsidR="007F5377" w:rsidRDefault="007F5377" w:rsidP="002B6075">
      <w:pPr>
        <w:spacing w:after="0" w:line="240" w:lineRule="auto"/>
      </w:pPr>
      <w:r>
        <w:separator/>
      </w:r>
    </w:p>
  </w:endnote>
  <w:endnote w:type="continuationSeparator" w:id="0">
    <w:p w14:paraId="0FD6B735" w14:textId="77777777" w:rsidR="007F5377" w:rsidRDefault="007F5377" w:rsidP="002B6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DEE02" w14:textId="4C7A448A" w:rsidR="002B6075" w:rsidRPr="002B6075" w:rsidRDefault="002B6075" w:rsidP="002B6075">
    <w:pPr>
      <w:pStyle w:val="Pieddepage"/>
      <w:jc w:val="cen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5B8C1" w14:textId="77777777" w:rsidR="007F5377" w:rsidRDefault="007F5377" w:rsidP="002B6075">
      <w:pPr>
        <w:spacing w:after="0" w:line="240" w:lineRule="auto"/>
      </w:pPr>
      <w:r>
        <w:separator/>
      </w:r>
    </w:p>
  </w:footnote>
  <w:footnote w:type="continuationSeparator" w:id="0">
    <w:p w14:paraId="3EE92D20" w14:textId="77777777" w:rsidR="007F5377" w:rsidRDefault="007F5377" w:rsidP="002B6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EC0"/>
    <w:multiLevelType w:val="hybridMultilevel"/>
    <w:tmpl w:val="18D4FC50"/>
    <w:lvl w:ilvl="0" w:tplc="3E720356">
      <w:start w:val="1"/>
      <w:numFmt w:val="bullet"/>
      <w:lvlText w:val=""/>
      <w:lvlJc w:val="left"/>
      <w:pPr>
        <w:tabs>
          <w:tab w:val="num" w:pos="720"/>
        </w:tabs>
        <w:ind w:left="720" w:hanging="360"/>
      </w:pPr>
      <w:rPr>
        <w:rFonts w:ascii="Wingdings" w:hAnsi="Wingdings" w:hint="default"/>
      </w:rPr>
    </w:lvl>
    <w:lvl w:ilvl="1" w:tplc="7954FEE6" w:tentative="1">
      <w:start w:val="1"/>
      <w:numFmt w:val="bullet"/>
      <w:lvlText w:val=""/>
      <w:lvlJc w:val="left"/>
      <w:pPr>
        <w:tabs>
          <w:tab w:val="num" w:pos="1440"/>
        </w:tabs>
        <w:ind w:left="1440" w:hanging="360"/>
      </w:pPr>
      <w:rPr>
        <w:rFonts w:ascii="Wingdings" w:hAnsi="Wingdings" w:hint="default"/>
      </w:rPr>
    </w:lvl>
    <w:lvl w:ilvl="2" w:tplc="48E4A218" w:tentative="1">
      <w:start w:val="1"/>
      <w:numFmt w:val="bullet"/>
      <w:lvlText w:val=""/>
      <w:lvlJc w:val="left"/>
      <w:pPr>
        <w:tabs>
          <w:tab w:val="num" w:pos="2160"/>
        </w:tabs>
        <w:ind w:left="2160" w:hanging="360"/>
      </w:pPr>
      <w:rPr>
        <w:rFonts w:ascii="Wingdings" w:hAnsi="Wingdings" w:hint="default"/>
      </w:rPr>
    </w:lvl>
    <w:lvl w:ilvl="3" w:tplc="F0C8D6AA" w:tentative="1">
      <w:start w:val="1"/>
      <w:numFmt w:val="bullet"/>
      <w:lvlText w:val=""/>
      <w:lvlJc w:val="left"/>
      <w:pPr>
        <w:tabs>
          <w:tab w:val="num" w:pos="2880"/>
        </w:tabs>
        <w:ind w:left="2880" w:hanging="360"/>
      </w:pPr>
      <w:rPr>
        <w:rFonts w:ascii="Wingdings" w:hAnsi="Wingdings" w:hint="default"/>
      </w:rPr>
    </w:lvl>
    <w:lvl w:ilvl="4" w:tplc="D9122724" w:tentative="1">
      <w:start w:val="1"/>
      <w:numFmt w:val="bullet"/>
      <w:lvlText w:val=""/>
      <w:lvlJc w:val="left"/>
      <w:pPr>
        <w:tabs>
          <w:tab w:val="num" w:pos="3600"/>
        </w:tabs>
        <w:ind w:left="3600" w:hanging="360"/>
      </w:pPr>
      <w:rPr>
        <w:rFonts w:ascii="Wingdings" w:hAnsi="Wingdings" w:hint="default"/>
      </w:rPr>
    </w:lvl>
    <w:lvl w:ilvl="5" w:tplc="F88233FA" w:tentative="1">
      <w:start w:val="1"/>
      <w:numFmt w:val="bullet"/>
      <w:lvlText w:val=""/>
      <w:lvlJc w:val="left"/>
      <w:pPr>
        <w:tabs>
          <w:tab w:val="num" w:pos="4320"/>
        </w:tabs>
        <w:ind w:left="4320" w:hanging="360"/>
      </w:pPr>
      <w:rPr>
        <w:rFonts w:ascii="Wingdings" w:hAnsi="Wingdings" w:hint="default"/>
      </w:rPr>
    </w:lvl>
    <w:lvl w:ilvl="6" w:tplc="6218ACDE" w:tentative="1">
      <w:start w:val="1"/>
      <w:numFmt w:val="bullet"/>
      <w:lvlText w:val=""/>
      <w:lvlJc w:val="left"/>
      <w:pPr>
        <w:tabs>
          <w:tab w:val="num" w:pos="5040"/>
        </w:tabs>
        <w:ind w:left="5040" w:hanging="360"/>
      </w:pPr>
      <w:rPr>
        <w:rFonts w:ascii="Wingdings" w:hAnsi="Wingdings" w:hint="default"/>
      </w:rPr>
    </w:lvl>
    <w:lvl w:ilvl="7" w:tplc="65F6297E" w:tentative="1">
      <w:start w:val="1"/>
      <w:numFmt w:val="bullet"/>
      <w:lvlText w:val=""/>
      <w:lvlJc w:val="left"/>
      <w:pPr>
        <w:tabs>
          <w:tab w:val="num" w:pos="5760"/>
        </w:tabs>
        <w:ind w:left="5760" w:hanging="360"/>
      </w:pPr>
      <w:rPr>
        <w:rFonts w:ascii="Wingdings" w:hAnsi="Wingdings" w:hint="default"/>
      </w:rPr>
    </w:lvl>
    <w:lvl w:ilvl="8" w:tplc="26D6251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CC1733"/>
    <w:multiLevelType w:val="hybridMultilevel"/>
    <w:tmpl w:val="5ED23954"/>
    <w:lvl w:ilvl="0" w:tplc="2D4282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E6101A"/>
    <w:multiLevelType w:val="hybridMultilevel"/>
    <w:tmpl w:val="36D87B4C"/>
    <w:lvl w:ilvl="0" w:tplc="A71C66C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8F62C8"/>
    <w:multiLevelType w:val="hybridMultilevel"/>
    <w:tmpl w:val="BE2061B0"/>
    <w:lvl w:ilvl="0" w:tplc="2D4282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B13ECC"/>
    <w:multiLevelType w:val="hybridMultilevel"/>
    <w:tmpl w:val="399EABE2"/>
    <w:lvl w:ilvl="0" w:tplc="0222175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9E44D3C"/>
    <w:multiLevelType w:val="hybridMultilevel"/>
    <w:tmpl w:val="61A095FE"/>
    <w:lvl w:ilvl="0" w:tplc="6A3E56E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F665C2"/>
    <w:multiLevelType w:val="hybridMultilevel"/>
    <w:tmpl w:val="1AAEFDC6"/>
    <w:lvl w:ilvl="0" w:tplc="5456F242">
      <w:start w:val="1"/>
      <w:numFmt w:val="bullet"/>
      <w:lvlText w:val=""/>
      <w:lvlJc w:val="left"/>
      <w:pPr>
        <w:tabs>
          <w:tab w:val="num" w:pos="720"/>
        </w:tabs>
        <w:ind w:left="720" w:hanging="360"/>
      </w:pPr>
      <w:rPr>
        <w:rFonts w:ascii="Wingdings" w:hAnsi="Wingdings" w:hint="default"/>
      </w:rPr>
    </w:lvl>
    <w:lvl w:ilvl="1" w:tplc="5754BF9A" w:tentative="1">
      <w:start w:val="1"/>
      <w:numFmt w:val="bullet"/>
      <w:lvlText w:val=""/>
      <w:lvlJc w:val="left"/>
      <w:pPr>
        <w:tabs>
          <w:tab w:val="num" w:pos="1440"/>
        </w:tabs>
        <w:ind w:left="1440" w:hanging="360"/>
      </w:pPr>
      <w:rPr>
        <w:rFonts w:ascii="Wingdings" w:hAnsi="Wingdings" w:hint="default"/>
      </w:rPr>
    </w:lvl>
    <w:lvl w:ilvl="2" w:tplc="10F83FFC" w:tentative="1">
      <w:start w:val="1"/>
      <w:numFmt w:val="bullet"/>
      <w:lvlText w:val=""/>
      <w:lvlJc w:val="left"/>
      <w:pPr>
        <w:tabs>
          <w:tab w:val="num" w:pos="2160"/>
        </w:tabs>
        <w:ind w:left="2160" w:hanging="360"/>
      </w:pPr>
      <w:rPr>
        <w:rFonts w:ascii="Wingdings" w:hAnsi="Wingdings" w:hint="default"/>
      </w:rPr>
    </w:lvl>
    <w:lvl w:ilvl="3" w:tplc="FB86E79C" w:tentative="1">
      <w:start w:val="1"/>
      <w:numFmt w:val="bullet"/>
      <w:lvlText w:val=""/>
      <w:lvlJc w:val="left"/>
      <w:pPr>
        <w:tabs>
          <w:tab w:val="num" w:pos="2880"/>
        </w:tabs>
        <w:ind w:left="2880" w:hanging="360"/>
      </w:pPr>
      <w:rPr>
        <w:rFonts w:ascii="Wingdings" w:hAnsi="Wingdings" w:hint="default"/>
      </w:rPr>
    </w:lvl>
    <w:lvl w:ilvl="4" w:tplc="EBEA273E" w:tentative="1">
      <w:start w:val="1"/>
      <w:numFmt w:val="bullet"/>
      <w:lvlText w:val=""/>
      <w:lvlJc w:val="left"/>
      <w:pPr>
        <w:tabs>
          <w:tab w:val="num" w:pos="3600"/>
        </w:tabs>
        <w:ind w:left="3600" w:hanging="360"/>
      </w:pPr>
      <w:rPr>
        <w:rFonts w:ascii="Wingdings" w:hAnsi="Wingdings" w:hint="default"/>
      </w:rPr>
    </w:lvl>
    <w:lvl w:ilvl="5" w:tplc="C562EE26" w:tentative="1">
      <w:start w:val="1"/>
      <w:numFmt w:val="bullet"/>
      <w:lvlText w:val=""/>
      <w:lvlJc w:val="left"/>
      <w:pPr>
        <w:tabs>
          <w:tab w:val="num" w:pos="4320"/>
        </w:tabs>
        <w:ind w:left="4320" w:hanging="360"/>
      </w:pPr>
      <w:rPr>
        <w:rFonts w:ascii="Wingdings" w:hAnsi="Wingdings" w:hint="default"/>
      </w:rPr>
    </w:lvl>
    <w:lvl w:ilvl="6" w:tplc="C31C9CC6" w:tentative="1">
      <w:start w:val="1"/>
      <w:numFmt w:val="bullet"/>
      <w:lvlText w:val=""/>
      <w:lvlJc w:val="left"/>
      <w:pPr>
        <w:tabs>
          <w:tab w:val="num" w:pos="5040"/>
        </w:tabs>
        <w:ind w:left="5040" w:hanging="360"/>
      </w:pPr>
      <w:rPr>
        <w:rFonts w:ascii="Wingdings" w:hAnsi="Wingdings" w:hint="default"/>
      </w:rPr>
    </w:lvl>
    <w:lvl w:ilvl="7" w:tplc="C4FEC086" w:tentative="1">
      <w:start w:val="1"/>
      <w:numFmt w:val="bullet"/>
      <w:lvlText w:val=""/>
      <w:lvlJc w:val="left"/>
      <w:pPr>
        <w:tabs>
          <w:tab w:val="num" w:pos="5760"/>
        </w:tabs>
        <w:ind w:left="5760" w:hanging="360"/>
      </w:pPr>
      <w:rPr>
        <w:rFonts w:ascii="Wingdings" w:hAnsi="Wingdings" w:hint="default"/>
      </w:rPr>
    </w:lvl>
    <w:lvl w:ilvl="8" w:tplc="805CDFD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D2174"/>
    <w:multiLevelType w:val="hybridMultilevel"/>
    <w:tmpl w:val="486489BA"/>
    <w:lvl w:ilvl="0" w:tplc="E8ACC92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5B696E"/>
    <w:multiLevelType w:val="hybridMultilevel"/>
    <w:tmpl w:val="72F0C266"/>
    <w:lvl w:ilvl="0" w:tplc="E88007E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3B23AB"/>
    <w:multiLevelType w:val="hybridMultilevel"/>
    <w:tmpl w:val="9A9E16EA"/>
    <w:lvl w:ilvl="0" w:tplc="36A0E1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78086E"/>
    <w:multiLevelType w:val="hybridMultilevel"/>
    <w:tmpl w:val="33443408"/>
    <w:lvl w:ilvl="0" w:tplc="E88007E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C7150F"/>
    <w:multiLevelType w:val="hybridMultilevel"/>
    <w:tmpl w:val="D892DE4E"/>
    <w:lvl w:ilvl="0" w:tplc="1C822B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9"/>
  </w:num>
  <w:num w:numId="5">
    <w:abstractNumId w:val="0"/>
  </w:num>
  <w:num w:numId="6">
    <w:abstractNumId w:val="6"/>
  </w:num>
  <w:num w:numId="7">
    <w:abstractNumId w:val="11"/>
  </w:num>
  <w:num w:numId="8">
    <w:abstractNumId w:val="5"/>
  </w:num>
  <w:num w:numId="9">
    <w:abstractNumId w:val="8"/>
  </w:num>
  <w:num w:numId="10">
    <w:abstractNumId w:val="10"/>
  </w:num>
  <w:num w:numId="11">
    <w:abstractNumId w:val="2"/>
  </w:num>
  <w:num w:numId="1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712"/>
    <w:rsid w:val="00020EC4"/>
    <w:rsid w:val="000221CC"/>
    <w:rsid w:val="000A0557"/>
    <w:rsid w:val="000D1F53"/>
    <w:rsid w:val="000E0979"/>
    <w:rsid w:val="000E18CD"/>
    <w:rsid w:val="000F7D55"/>
    <w:rsid w:val="00114B1F"/>
    <w:rsid w:val="001223C9"/>
    <w:rsid w:val="00141C36"/>
    <w:rsid w:val="00147F1F"/>
    <w:rsid w:val="001502B4"/>
    <w:rsid w:val="0015312B"/>
    <w:rsid w:val="0015643D"/>
    <w:rsid w:val="00173EA4"/>
    <w:rsid w:val="001D2783"/>
    <w:rsid w:val="001F6B39"/>
    <w:rsid w:val="00257C94"/>
    <w:rsid w:val="00264BBF"/>
    <w:rsid w:val="002A51FE"/>
    <w:rsid w:val="002B6075"/>
    <w:rsid w:val="002F1616"/>
    <w:rsid w:val="00317EAA"/>
    <w:rsid w:val="00334499"/>
    <w:rsid w:val="00350986"/>
    <w:rsid w:val="003870E9"/>
    <w:rsid w:val="0038762E"/>
    <w:rsid w:val="00390FB0"/>
    <w:rsid w:val="00394BCA"/>
    <w:rsid w:val="003C2508"/>
    <w:rsid w:val="003D253A"/>
    <w:rsid w:val="003D5E6C"/>
    <w:rsid w:val="003E0CC6"/>
    <w:rsid w:val="003E2991"/>
    <w:rsid w:val="003F1283"/>
    <w:rsid w:val="003F2FDA"/>
    <w:rsid w:val="003F455B"/>
    <w:rsid w:val="004402AF"/>
    <w:rsid w:val="00461712"/>
    <w:rsid w:val="00463B54"/>
    <w:rsid w:val="00470B5D"/>
    <w:rsid w:val="004720E7"/>
    <w:rsid w:val="0047226B"/>
    <w:rsid w:val="004770DE"/>
    <w:rsid w:val="00477EE8"/>
    <w:rsid w:val="004809EE"/>
    <w:rsid w:val="004A283B"/>
    <w:rsid w:val="004D5EA6"/>
    <w:rsid w:val="004E0EB4"/>
    <w:rsid w:val="00502B91"/>
    <w:rsid w:val="0050324B"/>
    <w:rsid w:val="0052295C"/>
    <w:rsid w:val="005232E6"/>
    <w:rsid w:val="00534341"/>
    <w:rsid w:val="00544F32"/>
    <w:rsid w:val="00553BC2"/>
    <w:rsid w:val="00556EAD"/>
    <w:rsid w:val="00575105"/>
    <w:rsid w:val="00576681"/>
    <w:rsid w:val="00586AA5"/>
    <w:rsid w:val="005A6160"/>
    <w:rsid w:val="005B50C8"/>
    <w:rsid w:val="005C7851"/>
    <w:rsid w:val="0061185E"/>
    <w:rsid w:val="00616ADE"/>
    <w:rsid w:val="006264CD"/>
    <w:rsid w:val="006A6FF9"/>
    <w:rsid w:val="006B3211"/>
    <w:rsid w:val="006B6D20"/>
    <w:rsid w:val="006C7509"/>
    <w:rsid w:val="006D17FC"/>
    <w:rsid w:val="006E3B8D"/>
    <w:rsid w:val="00701545"/>
    <w:rsid w:val="00711D02"/>
    <w:rsid w:val="0071458A"/>
    <w:rsid w:val="0072378A"/>
    <w:rsid w:val="00726935"/>
    <w:rsid w:val="0074207A"/>
    <w:rsid w:val="00757058"/>
    <w:rsid w:val="00774D21"/>
    <w:rsid w:val="007809BF"/>
    <w:rsid w:val="007D66C7"/>
    <w:rsid w:val="007F5377"/>
    <w:rsid w:val="00837DCE"/>
    <w:rsid w:val="00846070"/>
    <w:rsid w:val="00875CB6"/>
    <w:rsid w:val="008D0C6E"/>
    <w:rsid w:val="008E7E28"/>
    <w:rsid w:val="008F7337"/>
    <w:rsid w:val="00934AE2"/>
    <w:rsid w:val="0095340D"/>
    <w:rsid w:val="00960B38"/>
    <w:rsid w:val="0096538E"/>
    <w:rsid w:val="00970331"/>
    <w:rsid w:val="009743C7"/>
    <w:rsid w:val="00982F92"/>
    <w:rsid w:val="009944B3"/>
    <w:rsid w:val="009B5BF6"/>
    <w:rsid w:val="009D23A8"/>
    <w:rsid w:val="00A01468"/>
    <w:rsid w:val="00A2249B"/>
    <w:rsid w:val="00A434B9"/>
    <w:rsid w:val="00A52BC2"/>
    <w:rsid w:val="00A67A8C"/>
    <w:rsid w:val="00A91F07"/>
    <w:rsid w:val="00AB0183"/>
    <w:rsid w:val="00AB1D49"/>
    <w:rsid w:val="00AC3157"/>
    <w:rsid w:val="00AC377D"/>
    <w:rsid w:val="00AD557F"/>
    <w:rsid w:val="00AD560A"/>
    <w:rsid w:val="00AF339A"/>
    <w:rsid w:val="00B25CD4"/>
    <w:rsid w:val="00B67344"/>
    <w:rsid w:val="00B829E0"/>
    <w:rsid w:val="00BC1DEA"/>
    <w:rsid w:val="00BC331F"/>
    <w:rsid w:val="00BE5F2A"/>
    <w:rsid w:val="00C4209E"/>
    <w:rsid w:val="00C721ED"/>
    <w:rsid w:val="00C73469"/>
    <w:rsid w:val="00C94367"/>
    <w:rsid w:val="00CA6965"/>
    <w:rsid w:val="00CB3130"/>
    <w:rsid w:val="00CD53A0"/>
    <w:rsid w:val="00CE2986"/>
    <w:rsid w:val="00D02BC8"/>
    <w:rsid w:val="00D02F85"/>
    <w:rsid w:val="00D4412C"/>
    <w:rsid w:val="00D461FE"/>
    <w:rsid w:val="00D62B9D"/>
    <w:rsid w:val="00D71FCF"/>
    <w:rsid w:val="00D7476F"/>
    <w:rsid w:val="00DB2AD0"/>
    <w:rsid w:val="00DB6CF5"/>
    <w:rsid w:val="00DB78A0"/>
    <w:rsid w:val="00E307AD"/>
    <w:rsid w:val="00E353D2"/>
    <w:rsid w:val="00E367C3"/>
    <w:rsid w:val="00E51C51"/>
    <w:rsid w:val="00E55748"/>
    <w:rsid w:val="00E57BB4"/>
    <w:rsid w:val="00E631B3"/>
    <w:rsid w:val="00E87586"/>
    <w:rsid w:val="00EA4F47"/>
    <w:rsid w:val="00EB0520"/>
    <w:rsid w:val="00ED0E13"/>
    <w:rsid w:val="00ED17C7"/>
    <w:rsid w:val="00EF2C07"/>
    <w:rsid w:val="00F46201"/>
    <w:rsid w:val="00F50CFE"/>
    <w:rsid w:val="00F53EB4"/>
    <w:rsid w:val="00F55083"/>
    <w:rsid w:val="00F63870"/>
    <w:rsid w:val="00F65B97"/>
    <w:rsid w:val="00F73928"/>
    <w:rsid w:val="00FE50DC"/>
    <w:rsid w:val="00FF1F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8D202"/>
  <w15:docId w15:val="{0009E81A-3CFE-455F-A600-9A0FFE2D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A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617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61712"/>
    <w:pPr>
      <w:ind w:left="720"/>
      <w:contextualSpacing/>
    </w:pPr>
  </w:style>
  <w:style w:type="table" w:styleId="Grilledutableau">
    <w:name w:val="Table Grid"/>
    <w:basedOn w:val="TableauNormal"/>
    <w:uiPriority w:val="39"/>
    <w:rsid w:val="00114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14B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4B1F"/>
    <w:rPr>
      <w:rFonts w:ascii="Segoe UI" w:hAnsi="Segoe UI" w:cs="Segoe UI"/>
      <w:sz w:val="18"/>
      <w:szCs w:val="18"/>
    </w:rPr>
  </w:style>
  <w:style w:type="character" w:styleId="Marquedecommentaire">
    <w:name w:val="annotation reference"/>
    <w:basedOn w:val="Policepardfaut"/>
    <w:uiPriority w:val="99"/>
    <w:semiHidden/>
    <w:unhideWhenUsed/>
    <w:rsid w:val="00114B1F"/>
    <w:rPr>
      <w:sz w:val="16"/>
      <w:szCs w:val="16"/>
    </w:rPr>
  </w:style>
  <w:style w:type="paragraph" w:styleId="Commentaire">
    <w:name w:val="annotation text"/>
    <w:basedOn w:val="Normal"/>
    <w:link w:val="CommentaireCar"/>
    <w:uiPriority w:val="99"/>
    <w:semiHidden/>
    <w:unhideWhenUsed/>
    <w:rsid w:val="00114B1F"/>
    <w:pPr>
      <w:spacing w:line="240" w:lineRule="auto"/>
    </w:pPr>
    <w:rPr>
      <w:sz w:val="20"/>
      <w:szCs w:val="20"/>
    </w:rPr>
  </w:style>
  <w:style w:type="character" w:customStyle="1" w:styleId="CommentaireCar">
    <w:name w:val="Commentaire Car"/>
    <w:basedOn w:val="Policepardfaut"/>
    <w:link w:val="Commentaire"/>
    <w:uiPriority w:val="99"/>
    <w:semiHidden/>
    <w:rsid w:val="00114B1F"/>
    <w:rPr>
      <w:sz w:val="20"/>
      <w:szCs w:val="20"/>
    </w:rPr>
  </w:style>
  <w:style w:type="paragraph" w:styleId="Objetducommentaire">
    <w:name w:val="annotation subject"/>
    <w:basedOn w:val="Commentaire"/>
    <w:next w:val="Commentaire"/>
    <w:link w:val="ObjetducommentaireCar"/>
    <w:uiPriority w:val="99"/>
    <w:semiHidden/>
    <w:unhideWhenUsed/>
    <w:rsid w:val="00114B1F"/>
    <w:rPr>
      <w:b/>
      <w:bCs/>
    </w:rPr>
  </w:style>
  <w:style w:type="character" w:customStyle="1" w:styleId="ObjetducommentaireCar">
    <w:name w:val="Objet du commentaire Car"/>
    <w:basedOn w:val="CommentaireCar"/>
    <w:link w:val="Objetducommentaire"/>
    <w:uiPriority w:val="99"/>
    <w:semiHidden/>
    <w:rsid w:val="00114B1F"/>
    <w:rPr>
      <w:b/>
      <w:bCs/>
      <w:sz w:val="20"/>
      <w:szCs w:val="20"/>
    </w:rPr>
  </w:style>
  <w:style w:type="paragraph" w:styleId="En-tte">
    <w:name w:val="header"/>
    <w:basedOn w:val="Normal"/>
    <w:link w:val="En-tteCar"/>
    <w:uiPriority w:val="99"/>
    <w:unhideWhenUsed/>
    <w:rsid w:val="002B6075"/>
    <w:pPr>
      <w:tabs>
        <w:tab w:val="center" w:pos="4536"/>
        <w:tab w:val="right" w:pos="9072"/>
      </w:tabs>
      <w:spacing w:after="0" w:line="240" w:lineRule="auto"/>
    </w:pPr>
  </w:style>
  <w:style w:type="character" w:customStyle="1" w:styleId="En-tteCar">
    <w:name w:val="En-tête Car"/>
    <w:basedOn w:val="Policepardfaut"/>
    <w:link w:val="En-tte"/>
    <w:uiPriority w:val="99"/>
    <w:rsid w:val="002B6075"/>
  </w:style>
  <w:style w:type="paragraph" w:styleId="Pieddepage">
    <w:name w:val="footer"/>
    <w:basedOn w:val="Normal"/>
    <w:link w:val="PieddepageCar"/>
    <w:uiPriority w:val="99"/>
    <w:unhideWhenUsed/>
    <w:rsid w:val="002B6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6075"/>
  </w:style>
  <w:style w:type="character" w:styleId="Lienhypertexte">
    <w:name w:val="Hyperlink"/>
    <w:basedOn w:val="Policepardfaut"/>
    <w:uiPriority w:val="99"/>
    <w:unhideWhenUsed/>
    <w:rsid w:val="002B6075"/>
    <w:rPr>
      <w:color w:val="0563C1" w:themeColor="hyperlink"/>
      <w:u w:val="single"/>
    </w:rPr>
  </w:style>
  <w:style w:type="paragraph" w:styleId="Corpsdetexte">
    <w:name w:val="Body Text"/>
    <w:basedOn w:val="Normal"/>
    <w:link w:val="CorpsdetexteCar"/>
    <w:rsid w:val="004809EE"/>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4809EE"/>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7943">
      <w:bodyDiv w:val="1"/>
      <w:marLeft w:val="0"/>
      <w:marRight w:val="0"/>
      <w:marTop w:val="0"/>
      <w:marBottom w:val="0"/>
      <w:divBdr>
        <w:top w:val="none" w:sz="0" w:space="0" w:color="auto"/>
        <w:left w:val="none" w:sz="0" w:space="0" w:color="auto"/>
        <w:bottom w:val="none" w:sz="0" w:space="0" w:color="auto"/>
        <w:right w:val="none" w:sz="0" w:space="0" w:color="auto"/>
      </w:divBdr>
    </w:div>
    <w:div w:id="663626567">
      <w:bodyDiv w:val="1"/>
      <w:marLeft w:val="0"/>
      <w:marRight w:val="0"/>
      <w:marTop w:val="0"/>
      <w:marBottom w:val="0"/>
      <w:divBdr>
        <w:top w:val="none" w:sz="0" w:space="0" w:color="auto"/>
        <w:left w:val="none" w:sz="0" w:space="0" w:color="auto"/>
        <w:bottom w:val="none" w:sz="0" w:space="0" w:color="auto"/>
        <w:right w:val="none" w:sz="0" w:space="0" w:color="auto"/>
      </w:divBdr>
    </w:div>
    <w:div w:id="838271511">
      <w:bodyDiv w:val="1"/>
      <w:marLeft w:val="0"/>
      <w:marRight w:val="0"/>
      <w:marTop w:val="0"/>
      <w:marBottom w:val="0"/>
      <w:divBdr>
        <w:top w:val="none" w:sz="0" w:space="0" w:color="auto"/>
        <w:left w:val="none" w:sz="0" w:space="0" w:color="auto"/>
        <w:bottom w:val="none" w:sz="0" w:space="0" w:color="auto"/>
        <w:right w:val="none" w:sz="0" w:space="0" w:color="auto"/>
      </w:divBdr>
      <w:divsChild>
        <w:div w:id="552039984">
          <w:marLeft w:val="835"/>
          <w:marRight w:val="0"/>
          <w:marTop w:val="0"/>
          <w:marBottom w:val="0"/>
          <w:divBdr>
            <w:top w:val="none" w:sz="0" w:space="0" w:color="auto"/>
            <w:left w:val="none" w:sz="0" w:space="0" w:color="auto"/>
            <w:bottom w:val="none" w:sz="0" w:space="0" w:color="auto"/>
            <w:right w:val="none" w:sz="0" w:space="0" w:color="auto"/>
          </w:divBdr>
        </w:div>
      </w:divsChild>
    </w:div>
    <w:div w:id="966423968">
      <w:bodyDiv w:val="1"/>
      <w:marLeft w:val="0"/>
      <w:marRight w:val="0"/>
      <w:marTop w:val="0"/>
      <w:marBottom w:val="0"/>
      <w:divBdr>
        <w:top w:val="none" w:sz="0" w:space="0" w:color="auto"/>
        <w:left w:val="none" w:sz="0" w:space="0" w:color="auto"/>
        <w:bottom w:val="none" w:sz="0" w:space="0" w:color="auto"/>
        <w:right w:val="none" w:sz="0" w:space="0" w:color="auto"/>
      </w:divBdr>
    </w:div>
    <w:div w:id="971592866">
      <w:bodyDiv w:val="1"/>
      <w:marLeft w:val="0"/>
      <w:marRight w:val="0"/>
      <w:marTop w:val="0"/>
      <w:marBottom w:val="0"/>
      <w:divBdr>
        <w:top w:val="none" w:sz="0" w:space="0" w:color="auto"/>
        <w:left w:val="none" w:sz="0" w:space="0" w:color="auto"/>
        <w:bottom w:val="none" w:sz="0" w:space="0" w:color="auto"/>
        <w:right w:val="none" w:sz="0" w:space="0" w:color="auto"/>
      </w:divBdr>
    </w:div>
    <w:div w:id="979189336">
      <w:bodyDiv w:val="1"/>
      <w:marLeft w:val="0"/>
      <w:marRight w:val="0"/>
      <w:marTop w:val="0"/>
      <w:marBottom w:val="0"/>
      <w:divBdr>
        <w:top w:val="none" w:sz="0" w:space="0" w:color="auto"/>
        <w:left w:val="none" w:sz="0" w:space="0" w:color="auto"/>
        <w:bottom w:val="none" w:sz="0" w:space="0" w:color="auto"/>
        <w:right w:val="none" w:sz="0" w:space="0" w:color="auto"/>
      </w:divBdr>
    </w:div>
    <w:div w:id="1268851395">
      <w:bodyDiv w:val="1"/>
      <w:marLeft w:val="0"/>
      <w:marRight w:val="0"/>
      <w:marTop w:val="0"/>
      <w:marBottom w:val="0"/>
      <w:divBdr>
        <w:top w:val="none" w:sz="0" w:space="0" w:color="auto"/>
        <w:left w:val="none" w:sz="0" w:space="0" w:color="auto"/>
        <w:bottom w:val="none" w:sz="0" w:space="0" w:color="auto"/>
        <w:right w:val="none" w:sz="0" w:space="0" w:color="auto"/>
      </w:divBdr>
    </w:div>
    <w:div w:id="1282419613">
      <w:bodyDiv w:val="1"/>
      <w:marLeft w:val="0"/>
      <w:marRight w:val="0"/>
      <w:marTop w:val="0"/>
      <w:marBottom w:val="0"/>
      <w:divBdr>
        <w:top w:val="none" w:sz="0" w:space="0" w:color="auto"/>
        <w:left w:val="none" w:sz="0" w:space="0" w:color="auto"/>
        <w:bottom w:val="none" w:sz="0" w:space="0" w:color="auto"/>
        <w:right w:val="none" w:sz="0" w:space="0" w:color="auto"/>
      </w:divBdr>
      <w:divsChild>
        <w:div w:id="505218277">
          <w:marLeft w:val="835"/>
          <w:marRight w:val="0"/>
          <w:marTop w:val="0"/>
          <w:marBottom w:val="0"/>
          <w:divBdr>
            <w:top w:val="none" w:sz="0" w:space="0" w:color="auto"/>
            <w:left w:val="none" w:sz="0" w:space="0" w:color="auto"/>
            <w:bottom w:val="none" w:sz="0" w:space="0" w:color="auto"/>
            <w:right w:val="none" w:sz="0" w:space="0" w:color="auto"/>
          </w:divBdr>
        </w:div>
      </w:divsChild>
    </w:div>
    <w:div w:id="1432360725">
      <w:bodyDiv w:val="1"/>
      <w:marLeft w:val="0"/>
      <w:marRight w:val="0"/>
      <w:marTop w:val="0"/>
      <w:marBottom w:val="0"/>
      <w:divBdr>
        <w:top w:val="none" w:sz="0" w:space="0" w:color="auto"/>
        <w:left w:val="none" w:sz="0" w:space="0" w:color="auto"/>
        <w:bottom w:val="none" w:sz="0" w:space="0" w:color="auto"/>
        <w:right w:val="none" w:sz="0" w:space="0" w:color="auto"/>
      </w:divBdr>
    </w:div>
    <w:div w:id="1761561998">
      <w:bodyDiv w:val="1"/>
      <w:marLeft w:val="0"/>
      <w:marRight w:val="0"/>
      <w:marTop w:val="0"/>
      <w:marBottom w:val="0"/>
      <w:divBdr>
        <w:top w:val="none" w:sz="0" w:space="0" w:color="auto"/>
        <w:left w:val="none" w:sz="0" w:space="0" w:color="auto"/>
        <w:bottom w:val="none" w:sz="0" w:space="0" w:color="auto"/>
        <w:right w:val="none" w:sz="0" w:space="0" w:color="auto"/>
      </w:divBdr>
    </w:div>
    <w:div w:id="1828327218">
      <w:bodyDiv w:val="1"/>
      <w:marLeft w:val="0"/>
      <w:marRight w:val="0"/>
      <w:marTop w:val="0"/>
      <w:marBottom w:val="0"/>
      <w:divBdr>
        <w:top w:val="none" w:sz="0" w:space="0" w:color="auto"/>
        <w:left w:val="none" w:sz="0" w:space="0" w:color="auto"/>
        <w:bottom w:val="none" w:sz="0" w:space="0" w:color="auto"/>
        <w:right w:val="none" w:sz="0" w:space="0" w:color="auto"/>
      </w:divBdr>
    </w:div>
    <w:div w:id="1982536429">
      <w:bodyDiv w:val="1"/>
      <w:marLeft w:val="0"/>
      <w:marRight w:val="0"/>
      <w:marTop w:val="0"/>
      <w:marBottom w:val="0"/>
      <w:divBdr>
        <w:top w:val="none" w:sz="0" w:space="0" w:color="auto"/>
        <w:left w:val="none" w:sz="0" w:space="0" w:color="auto"/>
        <w:bottom w:val="none" w:sz="0" w:space="0" w:color="auto"/>
        <w:right w:val="none" w:sz="0" w:space="0" w:color="auto"/>
      </w:divBdr>
    </w:div>
    <w:div w:id="204197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B2392-6738-433A-9C4C-7A4A22E39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1638</Words>
  <Characters>9010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DELAUNOIS, Lucile (DSS/SD2 ACCES AUX SOINS PREST FAMILIALES ET ACCIDENTS DU TRAVAIL)</dc:creator>
  <cp:lastModifiedBy>DELAUNOIS, Lucile (DSS/ASPFAT/2A)</cp:lastModifiedBy>
  <cp:revision>5</cp:revision>
  <dcterms:created xsi:type="dcterms:W3CDTF">2022-01-05T14:20:00Z</dcterms:created>
  <dcterms:modified xsi:type="dcterms:W3CDTF">2022-02-08T16:57:00Z</dcterms:modified>
</cp:coreProperties>
</file>